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DAD" w:rsidRPr="004B6E54" w:rsidRDefault="003B3DAD" w:rsidP="003B3DAD">
      <w:pPr>
        <w:spacing w:after="0" w:line="240" w:lineRule="auto"/>
        <w:jc w:val="right"/>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before="240" w:after="60" w:line="240" w:lineRule="auto"/>
        <w:jc w:val="center"/>
        <w:rPr>
          <w:rFonts w:ascii="Arial" w:eastAsia="Times New Roman" w:hAnsi="Arial" w:cs="Arial"/>
          <w:b/>
          <w:kern w:val="28"/>
          <w:sz w:val="24"/>
          <w:szCs w:val="24"/>
          <w:lang w:eastAsia="cs-CZ"/>
        </w:rPr>
      </w:pPr>
      <w:r w:rsidRPr="004B6E54">
        <w:rPr>
          <w:rFonts w:ascii="Arial" w:eastAsia="Times New Roman" w:hAnsi="Arial" w:cs="Arial"/>
          <w:b/>
          <w:kern w:val="28"/>
          <w:sz w:val="24"/>
          <w:szCs w:val="24"/>
          <w:lang w:eastAsia="cs-CZ"/>
        </w:rPr>
        <w:t>ZADÁVACÍ DOKUMENTACE</w:t>
      </w:r>
    </w:p>
    <w:p w:rsidR="003B3DAD" w:rsidRPr="004B6E54" w:rsidRDefault="003B3DAD" w:rsidP="003B3DAD">
      <w:pPr>
        <w:spacing w:after="0" w:line="240" w:lineRule="auto"/>
        <w:jc w:val="center"/>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ve smyslu § </w:t>
      </w:r>
      <w:smartTag w:uri="urn:schemas-microsoft-com:office:smarttags" w:element="metricconverter">
        <w:smartTagPr>
          <w:attr w:name="ProductID" w:val="44 a"/>
        </w:smartTagPr>
        <w:r w:rsidRPr="004B6E54">
          <w:rPr>
            <w:rFonts w:ascii="Arial" w:eastAsia="Times New Roman" w:hAnsi="Arial" w:cs="Arial"/>
            <w:sz w:val="24"/>
            <w:szCs w:val="24"/>
            <w:lang w:eastAsia="cs-CZ"/>
          </w:rPr>
          <w:t>44 a</w:t>
        </w:r>
      </w:smartTag>
      <w:r w:rsidRPr="004B6E54">
        <w:rPr>
          <w:rFonts w:ascii="Arial" w:eastAsia="Times New Roman" w:hAnsi="Arial" w:cs="Arial"/>
          <w:sz w:val="24"/>
          <w:szCs w:val="24"/>
          <w:lang w:eastAsia="cs-CZ"/>
        </w:rPr>
        <w:t xml:space="preserve"> násl. zákona č. 137/2006 Sb., o veřejných zakázkách</w:t>
      </w:r>
      <w:r w:rsidRPr="004B6E54">
        <w:rPr>
          <w:rFonts w:ascii="Arial" w:eastAsia="Times New Roman" w:hAnsi="Arial" w:cs="Arial"/>
          <w:color w:val="FF0000"/>
          <w:sz w:val="24"/>
          <w:szCs w:val="24"/>
          <w:lang w:eastAsia="cs-CZ"/>
        </w:rPr>
        <w:t xml:space="preserve">, </w:t>
      </w:r>
      <w:r w:rsidRPr="004B6E54">
        <w:rPr>
          <w:rFonts w:ascii="Arial" w:eastAsia="Times New Roman" w:hAnsi="Arial" w:cs="Arial"/>
          <w:sz w:val="24"/>
          <w:szCs w:val="24"/>
          <w:lang w:eastAsia="cs-CZ"/>
        </w:rPr>
        <w:t>ve znění pozdějších předpisů (dále jen „ZVZ“)</w:t>
      </w:r>
    </w:p>
    <w:p w:rsidR="003B3DAD" w:rsidRPr="004B6E54" w:rsidRDefault="003B3DAD" w:rsidP="003B3DAD">
      <w:pPr>
        <w:spacing w:after="0" w:line="240" w:lineRule="auto"/>
        <w:jc w:val="center"/>
        <w:rPr>
          <w:rFonts w:ascii="Arial" w:eastAsia="Times New Roman" w:hAnsi="Arial" w:cs="Arial"/>
          <w:b/>
          <w:sz w:val="24"/>
          <w:szCs w:val="24"/>
          <w:lang w:eastAsia="cs-CZ"/>
        </w:rPr>
      </w:pPr>
    </w:p>
    <w:p w:rsidR="003B3DAD" w:rsidRPr="004B6E54" w:rsidRDefault="003B3DAD" w:rsidP="003B3DAD">
      <w:pPr>
        <w:spacing w:after="0" w:line="240" w:lineRule="auto"/>
        <w:jc w:val="center"/>
        <w:rPr>
          <w:rFonts w:ascii="Arial" w:eastAsia="Times New Roman" w:hAnsi="Arial" w:cs="Arial"/>
          <w:b/>
          <w:sz w:val="24"/>
          <w:szCs w:val="24"/>
          <w:lang w:eastAsia="cs-CZ"/>
        </w:rPr>
      </w:pPr>
      <w:r w:rsidRPr="004B6E54">
        <w:rPr>
          <w:rFonts w:ascii="Arial" w:eastAsia="Times New Roman" w:hAnsi="Arial" w:cs="Arial"/>
          <w:b/>
          <w:sz w:val="24"/>
          <w:szCs w:val="24"/>
          <w:lang w:eastAsia="cs-CZ"/>
        </w:rPr>
        <w:t>Nadlimitní veřejná zakázka na dodávky</w:t>
      </w:r>
    </w:p>
    <w:p w:rsidR="003B3DAD" w:rsidRPr="004B6E54" w:rsidRDefault="003B3DAD" w:rsidP="003B3DAD">
      <w:pPr>
        <w:spacing w:after="0" w:line="240" w:lineRule="auto"/>
        <w:jc w:val="center"/>
        <w:rPr>
          <w:rFonts w:ascii="Arial" w:eastAsia="Times New Roman" w:hAnsi="Arial" w:cs="Arial"/>
          <w:sz w:val="24"/>
          <w:szCs w:val="24"/>
          <w:lang w:eastAsia="cs-CZ"/>
        </w:rPr>
      </w:pPr>
      <w:r w:rsidRPr="004B6E54">
        <w:rPr>
          <w:rFonts w:ascii="Arial" w:eastAsia="Times New Roman" w:hAnsi="Arial" w:cs="Arial"/>
          <w:sz w:val="40"/>
          <w:szCs w:val="40"/>
          <w:lang w:eastAsia="cs-CZ"/>
        </w:rPr>
        <w:t>Pojištění motorových vozidel</w:t>
      </w:r>
    </w:p>
    <w:p w:rsidR="003B3DAD" w:rsidRPr="004B6E54" w:rsidRDefault="003B3DAD" w:rsidP="003B3DAD">
      <w:pPr>
        <w:spacing w:after="0" w:line="240" w:lineRule="auto"/>
        <w:jc w:val="center"/>
        <w:rPr>
          <w:rFonts w:ascii="Arial" w:eastAsia="Times New Roman" w:hAnsi="Arial" w:cs="Arial"/>
          <w:sz w:val="24"/>
          <w:szCs w:val="24"/>
          <w:lang w:eastAsia="cs-CZ"/>
        </w:rPr>
      </w:pPr>
      <w:r w:rsidRPr="004B6E54">
        <w:rPr>
          <w:rFonts w:ascii="Arial" w:eastAsia="Times New Roman" w:hAnsi="Arial" w:cs="Arial"/>
          <w:sz w:val="24"/>
          <w:szCs w:val="24"/>
          <w:lang w:eastAsia="cs-CZ"/>
        </w:rPr>
        <w:t>zadávaná v zjednodušeném podlimitním řízení podle § 38 a násl. zákona</w:t>
      </w:r>
    </w:p>
    <w:p w:rsidR="003B3DAD" w:rsidRPr="004B6E54" w:rsidRDefault="003B3DAD" w:rsidP="003B3DAD">
      <w:pPr>
        <w:spacing w:after="0" w:line="240" w:lineRule="auto"/>
        <w:jc w:val="center"/>
        <w:rPr>
          <w:rFonts w:ascii="Arial" w:eastAsia="Times New Roman" w:hAnsi="Arial" w:cs="Arial"/>
          <w:sz w:val="24"/>
          <w:szCs w:val="24"/>
          <w:lang w:eastAsia="cs-CZ"/>
        </w:rPr>
      </w:pPr>
    </w:p>
    <w:p w:rsidR="003B3DAD" w:rsidRPr="004B6E54" w:rsidRDefault="003B3DAD" w:rsidP="003B3DAD">
      <w:pPr>
        <w:spacing w:after="0" w:line="240" w:lineRule="auto"/>
        <w:jc w:val="center"/>
        <w:rPr>
          <w:rFonts w:ascii="Arial" w:eastAsia="Times New Roman" w:hAnsi="Arial" w:cs="Arial"/>
          <w:sz w:val="24"/>
          <w:szCs w:val="24"/>
          <w:lang w:eastAsia="cs-CZ"/>
        </w:rPr>
      </w:pPr>
    </w:p>
    <w:p w:rsidR="003B3DAD" w:rsidRPr="004B6E54" w:rsidRDefault="003B3DAD" w:rsidP="003B3DAD">
      <w:pPr>
        <w:spacing w:after="0" w:line="240" w:lineRule="auto"/>
        <w:jc w:val="center"/>
        <w:rPr>
          <w:rFonts w:ascii="Arial" w:eastAsia="Times New Roman" w:hAnsi="Arial" w:cs="Arial"/>
          <w:sz w:val="24"/>
          <w:szCs w:val="24"/>
          <w:lang w:eastAsia="cs-CZ"/>
        </w:rPr>
      </w:pPr>
    </w:p>
    <w:p w:rsidR="003B3DAD" w:rsidRPr="004B6E54" w:rsidRDefault="003B3DAD" w:rsidP="003B3DAD">
      <w:pPr>
        <w:spacing w:after="0" w:line="240" w:lineRule="auto"/>
        <w:jc w:val="center"/>
        <w:rPr>
          <w:rFonts w:ascii="Arial" w:eastAsia="Times New Roman" w:hAnsi="Arial" w:cs="Arial"/>
          <w:sz w:val="24"/>
          <w:szCs w:val="24"/>
          <w:lang w:eastAsia="cs-CZ"/>
        </w:rPr>
      </w:pPr>
    </w:p>
    <w:p w:rsidR="003B3DAD" w:rsidRPr="004B6E54" w:rsidRDefault="003B3DAD" w:rsidP="003B3DAD">
      <w:pPr>
        <w:spacing w:after="0" w:line="240" w:lineRule="auto"/>
        <w:jc w:val="center"/>
        <w:rPr>
          <w:rFonts w:ascii="Arial" w:eastAsia="Times New Roman" w:hAnsi="Arial" w:cs="Arial"/>
          <w:sz w:val="24"/>
          <w:szCs w:val="24"/>
          <w:lang w:eastAsia="cs-CZ"/>
        </w:rPr>
      </w:pPr>
    </w:p>
    <w:p w:rsidR="003B3DAD" w:rsidRPr="004B6E54" w:rsidRDefault="003B3DAD" w:rsidP="003B3DAD">
      <w:pPr>
        <w:spacing w:after="0" w:line="240" w:lineRule="auto"/>
        <w:jc w:val="center"/>
        <w:rPr>
          <w:rFonts w:ascii="Arial" w:eastAsia="Times New Roman" w:hAnsi="Arial" w:cs="Arial"/>
          <w:sz w:val="24"/>
          <w:szCs w:val="24"/>
          <w:lang w:eastAsia="cs-CZ"/>
        </w:rPr>
      </w:pPr>
    </w:p>
    <w:p w:rsidR="003B3DAD" w:rsidRPr="004B6E54" w:rsidRDefault="003B3DAD" w:rsidP="003B3DAD">
      <w:pPr>
        <w:tabs>
          <w:tab w:val="left" w:pos="540"/>
          <w:tab w:val="left" w:pos="2700"/>
        </w:tabs>
        <w:spacing w:after="0" w:line="240" w:lineRule="auto"/>
        <w:jc w:val="center"/>
        <w:rPr>
          <w:rFonts w:ascii="Arial" w:eastAsia="Times New Roman" w:hAnsi="Arial" w:cs="Arial"/>
          <w:b/>
          <w:sz w:val="24"/>
          <w:szCs w:val="24"/>
          <w:lang w:eastAsia="cs-CZ"/>
        </w:rPr>
      </w:pPr>
    </w:p>
    <w:p w:rsidR="003B3DAD" w:rsidRPr="004B6E54" w:rsidRDefault="003B3DAD" w:rsidP="003B3DAD">
      <w:pPr>
        <w:spacing w:after="0" w:line="240" w:lineRule="auto"/>
        <w:jc w:val="center"/>
        <w:rPr>
          <w:rFonts w:ascii="Arial" w:eastAsia="Times New Roman" w:hAnsi="Arial" w:cs="Arial"/>
          <w:b/>
          <w:sz w:val="24"/>
          <w:szCs w:val="24"/>
          <w:lang w:eastAsia="cs-CZ"/>
        </w:rPr>
      </w:pPr>
      <w:r w:rsidRPr="004B6E54">
        <w:rPr>
          <w:rFonts w:ascii="Arial" w:eastAsia="Times New Roman" w:hAnsi="Arial" w:cs="Arial"/>
          <w:b/>
          <w:sz w:val="24"/>
          <w:szCs w:val="24"/>
          <w:lang w:eastAsia="cs-CZ"/>
        </w:rPr>
        <w:t>Zadavatel veřejné zakázky :</w:t>
      </w:r>
    </w:p>
    <w:p w:rsidR="003B3DAD" w:rsidRPr="004B6E54" w:rsidRDefault="003B3DAD" w:rsidP="003B3DAD">
      <w:pPr>
        <w:spacing w:after="0" w:line="240" w:lineRule="auto"/>
        <w:rPr>
          <w:rFonts w:ascii="Arial" w:eastAsia="Times New Roman" w:hAnsi="Arial" w:cs="Arial"/>
          <w:b/>
          <w:sz w:val="24"/>
          <w:szCs w:val="24"/>
          <w:lang w:eastAsia="cs-CZ"/>
        </w:rPr>
      </w:pPr>
    </w:p>
    <w:p w:rsidR="003B3DAD" w:rsidRPr="004B6E54" w:rsidRDefault="003B3DAD" w:rsidP="003B3DAD">
      <w:pPr>
        <w:spacing w:after="0" w:line="240" w:lineRule="auto"/>
        <w:jc w:val="center"/>
        <w:rPr>
          <w:rFonts w:ascii="Arial" w:eastAsia="Times New Roman" w:hAnsi="Arial" w:cs="Arial"/>
          <w:sz w:val="24"/>
          <w:szCs w:val="24"/>
          <w:lang w:eastAsia="cs-CZ"/>
        </w:rPr>
      </w:pPr>
    </w:p>
    <w:p w:rsidR="003B3DAD" w:rsidRPr="004B6E54" w:rsidRDefault="003B3DAD" w:rsidP="003B3DAD">
      <w:pPr>
        <w:spacing w:after="0" w:line="240" w:lineRule="auto"/>
        <w:jc w:val="center"/>
        <w:rPr>
          <w:rFonts w:ascii="Arial" w:eastAsia="Times New Roman" w:hAnsi="Arial" w:cs="Arial"/>
          <w:sz w:val="24"/>
          <w:szCs w:val="24"/>
          <w:lang w:eastAsia="cs-CZ"/>
        </w:rPr>
      </w:pPr>
      <w:r w:rsidRPr="004B6E54">
        <w:rPr>
          <w:rFonts w:ascii="Arial" w:eastAsia="Times New Roman" w:hAnsi="Arial" w:cs="Arial"/>
          <w:sz w:val="24"/>
          <w:szCs w:val="24"/>
          <w:lang w:eastAsia="cs-CZ"/>
        </w:rPr>
        <w:t>Česká republika - Úřad práce České republiky</w:t>
      </w:r>
    </w:p>
    <w:p w:rsidR="003B3DAD" w:rsidRPr="004B6E54" w:rsidRDefault="003B3DAD" w:rsidP="003B3DAD">
      <w:pPr>
        <w:spacing w:after="0" w:line="240" w:lineRule="auto"/>
        <w:jc w:val="center"/>
        <w:rPr>
          <w:rFonts w:ascii="Arial" w:eastAsia="Times New Roman" w:hAnsi="Arial" w:cs="Arial"/>
          <w:sz w:val="24"/>
          <w:szCs w:val="24"/>
          <w:lang w:eastAsia="cs-CZ"/>
        </w:rPr>
      </w:pPr>
      <w:r w:rsidRPr="004B6E54">
        <w:rPr>
          <w:rFonts w:ascii="Arial" w:eastAsia="Times New Roman" w:hAnsi="Arial" w:cs="Arial"/>
          <w:sz w:val="24"/>
          <w:szCs w:val="24"/>
          <w:lang w:eastAsia="cs-CZ"/>
        </w:rPr>
        <w:t>Karlovo nám. 1359/1, 128 00 Praha 2</w:t>
      </w:r>
    </w:p>
    <w:p w:rsidR="003B3DAD" w:rsidRPr="004B6E54" w:rsidRDefault="003B3DAD" w:rsidP="003B3DAD">
      <w:pPr>
        <w:spacing w:after="0" w:line="240" w:lineRule="auto"/>
        <w:jc w:val="center"/>
        <w:rPr>
          <w:rFonts w:ascii="Arial" w:eastAsia="Times New Roman" w:hAnsi="Arial" w:cs="Arial"/>
          <w:sz w:val="24"/>
          <w:szCs w:val="24"/>
          <w:lang w:eastAsia="cs-CZ"/>
        </w:rPr>
      </w:pPr>
      <w:r w:rsidRPr="004B6E54">
        <w:rPr>
          <w:rFonts w:ascii="Arial" w:eastAsia="Times New Roman" w:hAnsi="Arial" w:cs="Arial"/>
          <w:sz w:val="24"/>
          <w:szCs w:val="24"/>
          <w:lang w:eastAsia="cs-CZ"/>
        </w:rPr>
        <w:t>IČ: 72496991</w:t>
      </w:r>
    </w:p>
    <w:p w:rsidR="003B3DAD" w:rsidRPr="004B6E54" w:rsidRDefault="003B3DAD" w:rsidP="003B3DAD">
      <w:pPr>
        <w:spacing w:after="0" w:line="240" w:lineRule="auto"/>
        <w:jc w:val="center"/>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keepNext/>
        <w:numPr>
          <w:ilvl w:val="0"/>
          <w:numId w:val="3"/>
        </w:numPr>
        <w:spacing w:before="240" w:after="60" w:line="240" w:lineRule="auto"/>
        <w:outlineLvl w:val="0"/>
        <w:rPr>
          <w:rFonts w:ascii="Arial" w:eastAsia="Times New Roman" w:hAnsi="Arial" w:cs="Arial"/>
          <w:b/>
          <w:bCs/>
          <w:kern w:val="32"/>
          <w:sz w:val="24"/>
          <w:szCs w:val="24"/>
          <w:lang w:eastAsia="cs-CZ"/>
        </w:rPr>
        <w:sectPr w:rsidR="003B3DAD" w:rsidRPr="004B6E54">
          <w:headerReference w:type="default" r:id="rId8"/>
          <w:footerReference w:type="default" r:id="rId9"/>
          <w:pgSz w:w="11906" w:h="16838"/>
          <w:pgMar w:top="1417" w:right="1417" w:bottom="1417" w:left="1417" w:header="708" w:footer="708" w:gutter="0"/>
          <w:cols w:space="708"/>
          <w:docGrid w:linePitch="360"/>
        </w:sectPr>
      </w:pP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r w:rsidRPr="004B6E54">
        <w:rPr>
          <w:rFonts w:ascii="Arial" w:eastAsia="Times New Roman" w:hAnsi="Arial" w:cs="Arial"/>
          <w:b/>
          <w:bCs/>
          <w:kern w:val="32"/>
          <w:sz w:val="24"/>
          <w:szCs w:val="24"/>
          <w:lang w:eastAsia="cs-CZ"/>
        </w:rPr>
        <w:lastRenderedPageBreak/>
        <w:t>Informace o zadavateli</w:t>
      </w:r>
    </w:p>
    <w:p w:rsidR="003B3DAD" w:rsidRPr="004B6E54" w:rsidRDefault="003B3DAD" w:rsidP="003B3DAD">
      <w:pPr>
        <w:keepNext/>
        <w:numPr>
          <w:ilvl w:val="1"/>
          <w:numId w:val="0"/>
        </w:numPr>
        <w:tabs>
          <w:tab w:val="num" w:pos="576"/>
        </w:tabs>
        <w:spacing w:before="240" w:after="60" w:line="240" w:lineRule="auto"/>
        <w:ind w:left="576" w:hanging="576"/>
        <w:jc w:val="both"/>
        <w:outlineLvl w:val="1"/>
        <w:rPr>
          <w:rFonts w:ascii="Arial" w:eastAsia="Times New Roman" w:hAnsi="Arial" w:cs="Arial"/>
          <w:bCs/>
          <w:sz w:val="24"/>
          <w:szCs w:val="28"/>
          <w:lang w:eastAsia="cs-CZ"/>
        </w:rPr>
      </w:pPr>
      <w:r w:rsidRPr="004B6E54">
        <w:rPr>
          <w:rFonts w:ascii="Arial" w:eastAsia="Times New Roman" w:hAnsi="Arial" w:cs="Arial"/>
          <w:bCs/>
          <w:sz w:val="24"/>
          <w:szCs w:val="28"/>
          <w:lang w:eastAsia="cs-CZ"/>
        </w:rPr>
        <w:t>Základní údaje</w:t>
      </w:r>
    </w:p>
    <w:p w:rsidR="003B3DAD" w:rsidRPr="004B6E54" w:rsidRDefault="003B3DAD" w:rsidP="003B3DAD">
      <w:pPr>
        <w:keepNext/>
        <w:spacing w:before="240" w:after="60" w:line="240" w:lineRule="auto"/>
        <w:jc w:val="both"/>
        <w:outlineLvl w:val="1"/>
        <w:rPr>
          <w:rFonts w:ascii="Arial" w:eastAsia="Times New Roman" w:hAnsi="Arial" w:cs="Arial"/>
          <w:sz w:val="24"/>
          <w:szCs w:val="20"/>
          <w:lang w:eastAsia="cs-CZ"/>
        </w:rPr>
      </w:pPr>
      <w:r w:rsidRPr="004B6E54">
        <w:rPr>
          <w:rFonts w:ascii="Arial" w:eastAsia="Times New Roman" w:hAnsi="Arial" w:cs="Arial"/>
          <w:sz w:val="24"/>
          <w:szCs w:val="20"/>
          <w:lang w:eastAsia="cs-CZ"/>
        </w:rPr>
        <w:t>Název:</w:t>
      </w:r>
      <w:r w:rsidRPr="004B6E54">
        <w:rPr>
          <w:rFonts w:ascii="Arial" w:eastAsia="Times New Roman" w:hAnsi="Arial" w:cs="Arial"/>
          <w:sz w:val="24"/>
          <w:szCs w:val="20"/>
          <w:lang w:eastAsia="cs-CZ"/>
        </w:rPr>
        <w:tab/>
        <w:t>Česká republika -</w:t>
      </w:r>
      <w:r w:rsidRPr="004B6E54">
        <w:rPr>
          <w:rFonts w:ascii="Arial" w:eastAsia="Times New Roman" w:hAnsi="Arial" w:cs="Arial"/>
          <w:color w:val="FF0000"/>
          <w:sz w:val="24"/>
          <w:szCs w:val="20"/>
          <w:lang w:eastAsia="cs-CZ"/>
        </w:rPr>
        <w:t xml:space="preserve"> </w:t>
      </w:r>
      <w:r w:rsidRPr="004B6E54">
        <w:rPr>
          <w:rFonts w:ascii="Arial" w:eastAsia="Times New Roman" w:hAnsi="Arial" w:cs="Arial"/>
          <w:sz w:val="24"/>
          <w:szCs w:val="20"/>
          <w:lang w:eastAsia="cs-CZ"/>
        </w:rPr>
        <w:t>Úřad práce České republiky</w:t>
      </w:r>
    </w:p>
    <w:p w:rsidR="003B3DAD" w:rsidRPr="004B6E54" w:rsidRDefault="003B3DAD" w:rsidP="003B3DAD">
      <w:pPr>
        <w:keepNext/>
        <w:spacing w:before="240" w:after="60" w:line="240" w:lineRule="auto"/>
        <w:jc w:val="both"/>
        <w:outlineLvl w:val="1"/>
        <w:rPr>
          <w:rFonts w:ascii="Arial" w:eastAsia="Times New Roman" w:hAnsi="Arial" w:cs="Arial"/>
          <w:sz w:val="24"/>
          <w:szCs w:val="20"/>
          <w:lang w:eastAsia="cs-CZ"/>
        </w:rPr>
      </w:pPr>
      <w:r w:rsidRPr="004B6E54">
        <w:rPr>
          <w:rFonts w:ascii="Arial" w:eastAsia="Times New Roman" w:hAnsi="Arial" w:cs="Arial"/>
          <w:sz w:val="24"/>
          <w:szCs w:val="20"/>
          <w:lang w:eastAsia="cs-CZ"/>
        </w:rPr>
        <w:t>Sídlo:</w:t>
      </w:r>
      <w:r w:rsidRPr="004B6E54">
        <w:rPr>
          <w:rFonts w:ascii="Arial" w:eastAsia="Times New Roman" w:hAnsi="Arial" w:cs="Arial"/>
          <w:sz w:val="24"/>
          <w:szCs w:val="20"/>
          <w:lang w:eastAsia="cs-CZ"/>
        </w:rPr>
        <w:tab/>
      </w:r>
      <w:r w:rsidRPr="004B6E54">
        <w:rPr>
          <w:rFonts w:ascii="Arial" w:eastAsia="Times New Roman" w:hAnsi="Arial" w:cs="Arial"/>
          <w:sz w:val="24"/>
          <w:szCs w:val="20"/>
          <w:lang w:eastAsia="cs-CZ"/>
        </w:rPr>
        <w:tab/>
        <w:t>Karlovo nám. 1359/1, 128 00  Praha 2</w:t>
      </w:r>
    </w:p>
    <w:p w:rsidR="003B3DAD" w:rsidRPr="004B6E54" w:rsidRDefault="003B3DAD" w:rsidP="003B3DAD">
      <w:pPr>
        <w:keepNext/>
        <w:spacing w:before="240" w:after="60" w:line="240" w:lineRule="auto"/>
        <w:jc w:val="both"/>
        <w:outlineLvl w:val="1"/>
        <w:rPr>
          <w:rFonts w:ascii="Arial" w:eastAsia="Times New Roman" w:hAnsi="Arial" w:cs="Arial"/>
          <w:sz w:val="24"/>
          <w:szCs w:val="20"/>
          <w:lang w:eastAsia="cs-CZ"/>
        </w:rPr>
      </w:pPr>
      <w:r w:rsidRPr="004B6E54">
        <w:rPr>
          <w:rFonts w:ascii="Arial" w:eastAsia="Times New Roman" w:hAnsi="Arial" w:cs="Arial"/>
          <w:sz w:val="24"/>
          <w:szCs w:val="20"/>
          <w:lang w:eastAsia="cs-CZ"/>
        </w:rPr>
        <w:t>IČ:</w:t>
      </w:r>
      <w:r w:rsidRPr="004B6E54">
        <w:rPr>
          <w:rFonts w:ascii="Arial" w:eastAsia="Times New Roman" w:hAnsi="Arial" w:cs="Arial"/>
          <w:sz w:val="24"/>
          <w:szCs w:val="20"/>
          <w:lang w:eastAsia="cs-CZ"/>
        </w:rPr>
        <w:tab/>
      </w:r>
      <w:r w:rsidRPr="004B6E54">
        <w:rPr>
          <w:rFonts w:ascii="Arial" w:eastAsia="Times New Roman" w:hAnsi="Arial" w:cs="Arial"/>
          <w:sz w:val="24"/>
          <w:szCs w:val="20"/>
          <w:lang w:eastAsia="cs-CZ"/>
        </w:rPr>
        <w:tab/>
      </w:r>
      <w:r w:rsidRPr="004B6E54">
        <w:rPr>
          <w:rFonts w:ascii="Arial" w:eastAsia="Times New Roman" w:hAnsi="Arial" w:cs="Arial"/>
          <w:sz w:val="24"/>
          <w:szCs w:val="24"/>
          <w:lang w:eastAsia="cs-CZ"/>
        </w:rPr>
        <w:t>72496991</w:t>
      </w:r>
    </w:p>
    <w:p w:rsidR="003B3DAD" w:rsidRPr="004B6E54" w:rsidRDefault="003B3DAD" w:rsidP="003B3DAD">
      <w:pPr>
        <w:keepNext/>
        <w:numPr>
          <w:ilvl w:val="1"/>
          <w:numId w:val="0"/>
        </w:numPr>
        <w:tabs>
          <w:tab w:val="num" w:pos="576"/>
        </w:tabs>
        <w:spacing w:before="240" w:after="60" w:line="240" w:lineRule="auto"/>
        <w:ind w:left="576" w:hanging="576"/>
        <w:jc w:val="both"/>
        <w:outlineLvl w:val="1"/>
        <w:rPr>
          <w:rFonts w:ascii="Arial" w:eastAsia="Times New Roman" w:hAnsi="Arial" w:cs="Arial"/>
          <w:bCs/>
          <w:sz w:val="24"/>
          <w:szCs w:val="28"/>
          <w:lang w:eastAsia="cs-CZ"/>
        </w:rPr>
      </w:pPr>
      <w:r w:rsidRPr="004B6E54">
        <w:rPr>
          <w:rFonts w:ascii="Arial" w:eastAsia="Times New Roman" w:hAnsi="Arial" w:cs="Arial"/>
          <w:bCs/>
          <w:sz w:val="24"/>
          <w:szCs w:val="28"/>
          <w:lang w:eastAsia="cs-CZ"/>
        </w:rPr>
        <w:t>Statutární orgán zadavatele</w:t>
      </w:r>
    </w:p>
    <w:p w:rsidR="003B3DAD" w:rsidRPr="004B6E54" w:rsidRDefault="003B3DAD" w:rsidP="003B3DAD">
      <w:pPr>
        <w:keepNext/>
        <w:spacing w:before="240" w:after="60" w:line="240" w:lineRule="auto"/>
        <w:jc w:val="both"/>
        <w:outlineLvl w:val="1"/>
        <w:rPr>
          <w:rFonts w:ascii="Arial" w:eastAsia="Times New Roman" w:hAnsi="Arial" w:cs="Arial"/>
          <w:sz w:val="24"/>
          <w:szCs w:val="20"/>
          <w:lang w:eastAsia="cs-CZ"/>
        </w:rPr>
      </w:pPr>
      <w:r w:rsidRPr="004B6E54">
        <w:rPr>
          <w:rFonts w:ascii="Arial" w:eastAsia="Times New Roman" w:hAnsi="Arial" w:cs="Arial"/>
          <w:sz w:val="24"/>
          <w:szCs w:val="20"/>
          <w:lang w:eastAsia="cs-CZ"/>
        </w:rPr>
        <w:t>Osobou</w:t>
      </w:r>
      <w:r w:rsidRPr="004B6E54">
        <w:rPr>
          <w:rFonts w:ascii="Arial" w:eastAsia="Times New Roman" w:hAnsi="Arial" w:cs="Arial"/>
          <w:color w:val="FF0000"/>
          <w:sz w:val="24"/>
          <w:szCs w:val="20"/>
          <w:lang w:eastAsia="cs-CZ"/>
        </w:rPr>
        <w:t xml:space="preserve"> </w:t>
      </w:r>
      <w:r w:rsidRPr="004B6E54">
        <w:rPr>
          <w:rFonts w:ascii="Arial" w:eastAsia="Times New Roman" w:hAnsi="Arial" w:cs="Arial"/>
          <w:sz w:val="24"/>
          <w:szCs w:val="20"/>
          <w:lang w:eastAsia="cs-CZ"/>
        </w:rPr>
        <w:t xml:space="preserve">oprávněnou k činění právních úkonů souvisejících s touto veřejnou zakázkou je JUDr. Jiří Kubeša, </w:t>
      </w:r>
      <w:r w:rsidR="000C7A1D">
        <w:rPr>
          <w:rFonts w:ascii="Arial" w:eastAsia="Times New Roman" w:hAnsi="Arial" w:cs="Arial"/>
          <w:sz w:val="24"/>
          <w:szCs w:val="20"/>
          <w:lang w:eastAsia="cs-CZ"/>
        </w:rPr>
        <w:t>ředitel</w:t>
      </w:r>
      <w:r w:rsidRPr="004B6E54">
        <w:rPr>
          <w:rFonts w:ascii="Arial" w:eastAsia="Times New Roman" w:hAnsi="Arial" w:cs="Arial"/>
          <w:sz w:val="24"/>
          <w:szCs w:val="20"/>
          <w:lang w:eastAsia="cs-CZ"/>
        </w:rPr>
        <w:t>Úřadu práce ČR.</w:t>
      </w:r>
    </w:p>
    <w:p w:rsidR="003B3DAD" w:rsidRPr="004B6E54" w:rsidRDefault="003B3DAD" w:rsidP="003B3DAD">
      <w:pPr>
        <w:keepNext/>
        <w:numPr>
          <w:ilvl w:val="1"/>
          <w:numId w:val="0"/>
        </w:numPr>
        <w:tabs>
          <w:tab w:val="num" w:pos="576"/>
        </w:tabs>
        <w:spacing w:before="240" w:after="60" w:line="240" w:lineRule="auto"/>
        <w:ind w:left="576" w:hanging="576"/>
        <w:jc w:val="both"/>
        <w:outlineLvl w:val="1"/>
        <w:rPr>
          <w:rFonts w:ascii="Arial" w:eastAsia="Times New Roman" w:hAnsi="Arial" w:cs="Arial"/>
          <w:bCs/>
          <w:sz w:val="24"/>
          <w:szCs w:val="28"/>
          <w:lang w:eastAsia="cs-CZ"/>
        </w:rPr>
      </w:pPr>
      <w:r w:rsidRPr="004B6E54">
        <w:rPr>
          <w:rFonts w:ascii="Arial" w:eastAsia="Times New Roman" w:hAnsi="Arial" w:cs="Arial"/>
          <w:bCs/>
          <w:sz w:val="24"/>
          <w:szCs w:val="28"/>
          <w:lang w:eastAsia="cs-CZ"/>
        </w:rPr>
        <w:t>Kontaktní osoby</w:t>
      </w:r>
    </w:p>
    <w:p w:rsidR="003B3DAD" w:rsidRPr="004B6E54" w:rsidRDefault="003B3DAD" w:rsidP="003B3DAD">
      <w:pPr>
        <w:keepNext/>
        <w:spacing w:before="240" w:after="60" w:line="240" w:lineRule="auto"/>
        <w:jc w:val="both"/>
        <w:outlineLvl w:val="1"/>
        <w:rPr>
          <w:rFonts w:ascii="Arial" w:eastAsia="Times New Roman" w:hAnsi="Arial" w:cs="Arial"/>
          <w:sz w:val="24"/>
          <w:szCs w:val="20"/>
          <w:lang w:eastAsia="cs-CZ"/>
        </w:rPr>
      </w:pPr>
      <w:r w:rsidRPr="004B6E54">
        <w:rPr>
          <w:rFonts w:ascii="Arial" w:eastAsia="Times New Roman" w:hAnsi="Arial" w:cs="Arial"/>
          <w:sz w:val="24"/>
          <w:szCs w:val="20"/>
          <w:lang w:eastAsia="cs-CZ"/>
        </w:rPr>
        <w:t xml:space="preserve">Kontaktní osobou v technických věcech souvisejících s touto veřejnou zakázkou je Ing. Petr Kalina, tel.: +420 950 193 529; e-mail: </w:t>
      </w:r>
      <w:hyperlink r:id="rId10" w:history="1">
        <w:r w:rsidRPr="004B6E54">
          <w:rPr>
            <w:rFonts w:ascii="Arial" w:eastAsia="Times New Roman" w:hAnsi="Arial" w:cs="Arial"/>
            <w:color w:val="0000FF"/>
            <w:sz w:val="24"/>
            <w:szCs w:val="20"/>
            <w:u w:val="single"/>
            <w:lang w:eastAsia="cs-CZ"/>
          </w:rPr>
          <w:t>petr.kalina@uradprace.cz</w:t>
        </w:r>
      </w:hyperlink>
      <w:r w:rsidRPr="004B6E54">
        <w:rPr>
          <w:rFonts w:ascii="Arial" w:eastAsia="Times New Roman" w:hAnsi="Arial" w:cs="Arial"/>
          <w:sz w:val="24"/>
          <w:szCs w:val="20"/>
          <w:lang w:eastAsia="cs-CZ"/>
        </w:rPr>
        <w:t xml:space="preserve"> </w:t>
      </w:r>
    </w:p>
    <w:p w:rsidR="003B3DAD" w:rsidRPr="004B6E54" w:rsidRDefault="003B3DAD" w:rsidP="003B3DAD">
      <w:pPr>
        <w:spacing w:before="240" w:after="60" w:line="240" w:lineRule="auto"/>
        <w:jc w:val="both"/>
        <w:outlineLvl w:val="1"/>
        <w:rPr>
          <w:rFonts w:ascii="Arial" w:eastAsia="Times New Roman" w:hAnsi="Arial" w:cs="Arial"/>
          <w:sz w:val="24"/>
          <w:szCs w:val="20"/>
          <w:lang w:eastAsia="cs-CZ"/>
        </w:rPr>
      </w:pPr>
      <w:r w:rsidRPr="004B6E54">
        <w:rPr>
          <w:rFonts w:ascii="Arial" w:eastAsia="Times New Roman" w:hAnsi="Arial" w:cs="Arial"/>
          <w:sz w:val="24"/>
          <w:szCs w:val="20"/>
          <w:lang w:eastAsia="cs-CZ"/>
        </w:rPr>
        <w:t xml:space="preserve">Kontaktní osobou v organizačních věcech souvisejících s touto veřejnou zakázkou je zástupce osoby pověřené výkonem zadavatelských činností Mgr. Jan Očenášek tel: +420 950 193 528; e-mail: </w:t>
      </w:r>
      <w:hyperlink r:id="rId11" w:history="1">
        <w:r w:rsidRPr="004B6E54">
          <w:rPr>
            <w:rFonts w:ascii="Arial" w:eastAsia="Times New Roman" w:hAnsi="Arial" w:cs="Arial"/>
            <w:color w:val="0000FF"/>
            <w:sz w:val="24"/>
            <w:szCs w:val="20"/>
            <w:u w:val="single"/>
            <w:lang w:eastAsia="cs-CZ"/>
          </w:rPr>
          <w:t>jan.ocenasek@uradprace.cz</w:t>
        </w:r>
      </w:hyperlink>
      <w:r w:rsidRPr="004B6E54">
        <w:rPr>
          <w:rFonts w:ascii="Arial" w:eastAsia="Times New Roman" w:hAnsi="Arial" w:cs="Arial"/>
          <w:sz w:val="24"/>
          <w:szCs w:val="20"/>
          <w:lang w:eastAsia="cs-CZ"/>
        </w:rPr>
        <w:t xml:space="preserve"> </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bookmarkStart w:id="0" w:name="_Toc366583528"/>
      <w:bookmarkStart w:id="1" w:name="_Toc367545156"/>
      <w:bookmarkStart w:id="2" w:name="_Toc372344902"/>
      <w:bookmarkStart w:id="3" w:name="_Toc372948279"/>
      <w:bookmarkStart w:id="4" w:name="_Toc374193243"/>
      <w:bookmarkStart w:id="5" w:name="_Toc374330753"/>
      <w:bookmarkStart w:id="6" w:name="_Toc374331655"/>
      <w:bookmarkStart w:id="7" w:name="_Toc375639417"/>
      <w:bookmarkStart w:id="8" w:name="_Toc388320442"/>
      <w:bookmarkStart w:id="9" w:name="_Toc32627409"/>
      <w:bookmarkStart w:id="10" w:name="_Ref98643533"/>
      <w:bookmarkStart w:id="11" w:name="_Ref98645378"/>
      <w:bookmarkStart w:id="12" w:name="_Toc102272383"/>
      <w:bookmarkStart w:id="13" w:name="_Toc102272598"/>
      <w:r w:rsidRPr="004B6E54">
        <w:rPr>
          <w:rFonts w:ascii="Arial" w:eastAsia="Times New Roman" w:hAnsi="Arial" w:cs="Arial"/>
          <w:b/>
          <w:bCs/>
          <w:kern w:val="32"/>
          <w:sz w:val="24"/>
          <w:szCs w:val="24"/>
          <w:lang w:eastAsia="cs-CZ"/>
        </w:rPr>
        <w:t>Předmět plnění veřejné zakázky</w:t>
      </w:r>
      <w:bookmarkEnd w:id="0"/>
      <w:bookmarkEnd w:id="1"/>
      <w:bookmarkEnd w:id="2"/>
      <w:bookmarkEnd w:id="3"/>
      <w:bookmarkEnd w:id="4"/>
      <w:bookmarkEnd w:id="5"/>
      <w:bookmarkEnd w:id="6"/>
      <w:bookmarkEnd w:id="7"/>
      <w:bookmarkEnd w:id="8"/>
      <w:bookmarkEnd w:id="9"/>
      <w:bookmarkEnd w:id="10"/>
      <w:bookmarkEnd w:id="11"/>
      <w:bookmarkEnd w:id="12"/>
      <w:bookmarkEnd w:id="13"/>
    </w:p>
    <w:p w:rsidR="003B3DAD" w:rsidRPr="004B6E54" w:rsidRDefault="003B3DAD" w:rsidP="003B3DAD">
      <w:pPr>
        <w:spacing w:after="0" w:line="240" w:lineRule="auto"/>
        <w:jc w:val="both"/>
        <w:rPr>
          <w:rFonts w:ascii="Arial" w:eastAsia="Times New Roman" w:hAnsi="Arial" w:cs="Arial"/>
          <w:lang w:eastAsia="cs-CZ"/>
        </w:rPr>
      </w:pPr>
      <w:bookmarkStart w:id="14" w:name="_Toc102272600"/>
      <w:bookmarkStart w:id="15" w:name="_Toc32627411"/>
      <w:r w:rsidRPr="004B6E54">
        <w:rPr>
          <w:rFonts w:ascii="Arial" w:eastAsia="Times New Roman" w:hAnsi="Arial" w:cs="Arial"/>
          <w:lang w:eastAsia="cs-CZ"/>
        </w:rPr>
        <w:t>2.1 Předmětem veřejné zakázky je pojištění motorových vozidel Úřadu práce České republiky (dále jen „úřad práce“) na období  od 1.1.2012 do 31.12.2012, zadané v souladu se</w:t>
      </w:r>
      <w:r w:rsidRPr="004B6E54">
        <w:rPr>
          <w:rFonts w:ascii="Arial" w:eastAsia="Times New Roman" w:hAnsi="Arial" w:cs="Arial"/>
          <w:bCs/>
          <w:lang w:eastAsia="cs-CZ"/>
        </w:rPr>
        <w:t xml:space="preserve"> zákonem č.137/2006 Sb., o veřejných zakázkách</w:t>
      </w:r>
      <w:r w:rsidRPr="004B6E54">
        <w:rPr>
          <w:rFonts w:ascii="Arial" w:eastAsia="Times New Roman" w:hAnsi="Arial" w:cs="Arial"/>
          <w:lang w:eastAsia="cs-CZ"/>
        </w:rPr>
        <w:t xml:space="preserve"> v platném znění (dále jen zákon č.137/2006 Sb.) – otevřené řízení. </w:t>
      </w:r>
    </w:p>
    <w:p w:rsidR="003B3DAD" w:rsidRPr="004B6E54" w:rsidRDefault="003B3DAD" w:rsidP="003B3DAD">
      <w:p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     Součástí veřejné zakázky je i zpracování návrhů smluv, které budou odrážet požadavky zadavatele na vozový park úřadu práce. Rozsah a obsah požadovaného pojištění je v této zadávací dokumentaci specifikován podle potřeb úřadu práce a je specifikován níže.</w:t>
      </w:r>
    </w:p>
    <w:p w:rsidR="003B3DAD" w:rsidRPr="004B6E54" w:rsidRDefault="003B3DAD" w:rsidP="003B3DAD">
      <w:p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     Všechny případné dotazy k zadávací dokumentaci budou akceptovány pouze v písemné podobě (E-mail) a bude na ně odpovídáno zase jen písemně a to všem uchazečům najednou. </w:t>
      </w:r>
    </w:p>
    <w:p w:rsidR="003B3DAD" w:rsidRPr="004B6E54" w:rsidRDefault="003B3DAD" w:rsidP="003B3DAD">
      <w:p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     Pro potřeby stanovení nabídkových cen, specifikací pojištění a komunikaci mezi zadavatelem a uchazečem jsou definovány tyto pojmy  :</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ind w:left="900" w:hanging="900"/>
        <w:jc w:val="both"/>
        <w:rPr>
          <w:rFonts w:ascii="Arial" w:eastAsia="Times New Roman" w:hAnsi="Arial" w:cs="Arial"/>
          <w:lang w:eastAsia="cs-CZ"/>
        </w:rPr>
      </w:pPr>
      <w:r w:rsidRPr="004B6E54">
        <w:rPr>
          <w:rFonts w:ascii="Arial" w:eastAsia="Times New Roman" w:hAnsi="Arial" w:cs="Arial"/>
          <w:b/>
          <w:bCs/>
          <w:lang w:eastAsia="cs-CZ"/>
        </w:rPr>
        <w:t>zákonné pojištění vozidel</w:t>
      </w:r>
      <w:r w:rsidRPr="004B6E54">
        <w:rPr>
          <w:rFonts w:ascii="Arial" w:eastAsia="Times New Roman" w:hAnsi="Arial" w:cs="Arial"/>
          <w:lang w:eastAsia="cs-CZ"/>
        </w:rPr>
        <w:t xml:space="preserve"> – sjednané pojištění v rozsahu zákona č.168/1999 Sb., o pojištění odpovědnosti za škodu způsobenou provozem vozidla a o změně některých souvisejících zákonů (dále jen zákon č.168/1999 Sb.) a prováděcí vyhlášky k tomuto zákonu č.205/1999Sb.</w:t>
      </w:r>
    </w:p>
    <w:p w:rsidR="003B3DAD" w:rsidRPr="004B6E54" w:rsidRDefault="003B3DAD" w:rsidP="003B3DAD">
      <w:pPr>
        <w:spacing w:after="0" w:line="240" w:lineRule="auto"/>
        <w:ind w:left="900" w:hanging="900"/>
        <w:jc w:val="both"/>
        <w:rPr>
          <w:rFonts w:ascii="Arial" w:eastAsia="Times New Roman" w:hAnsi="Arial" w:cs="Arial"/>
          <w:lang w:eastAsia="cs-CZ"/>
        </w:rPr>
      </w:pPr>
    </w:p>
    <w:p w:rsidR="003B3DAD" w:rsidRPr="004B6E54" w:rsidRDefault="003B3DAD" w:rsidP="003B3DAD">
      <w:pPr>
        <w:tabs>
          <w:tab w:val="num" w:pos="964"/>
        </w:tabs>
        <w:spacing w:after="0" w:line="240" w:lineRule="auto"/>
        <w:jc w:val="both"/>
        <w:rPr>
          <w:rFonts w:ascii="Arial" w:eastAsia="Times New Roman" w:hAnsi="Arial" w:cs="Arial"/>
          <w:bCs/>
          <w:lang w:eastAsia="cs-CZ"/>
        </w:rPr>
      </w:pPr>
      <w:r w:rsidRPr="004B6E54">
        <w:rPr>
          <w:rFonts w:ascii="Arial" w:eastAsia="Times New Roman" w:hAnsi="Arial" w:cs="Arial"/>
          <w:b/>
          <w:bCs/>
          <w:lang w:eastAsia="cs-CZ"/>
        </w:rPr>
        <w:t>havarijní pojištění vozidel</w:t>
      </w:r>
      <w:r w:rsidRPr="004B6E54">
        <w:rPr>
          <w:rFonts w:ascii="Arial" w:eastAsia="Times New Roman" w:hAnsi="Arial" w:cs="Arial"/>
          <w:lang w:eastAsia="cs-CZ"/>
        </w:rPr>
        <w:t xml:space="preserve"> – pojištění v souladu se zákonem č.37/2004 Sb., o pojistné smlouvě a o změně souvisejících zákonů (dále jen zákon č.37/2004 Sb.). </w:t>
      </w:r>
      <w:r w:rsidRPr="004B6E54">
        <w:rPr>
          <w:rFonts w:ascii="Arial" w:eastAsia="Times New Roman" w:hAnsi="Arial" w:cs="Arial"/>
          <w:bCs/>
          <w:lang w:eastAsia="cs-CZ"/>
        </w:rPr>
        <w:t>Havarijní pojištění motorových vozidel musí zahrnovat:</w:t>
      </w:r>
    </w:p>
    <w:p w:rsidR="003B3DAD" w:rsidRPr="004B6E54" w:rsidRDefault="003B3DAD" w:rsidP="003B3DAD">
      <w:pPr>
        <w:numPr>
          <w:ilvl w:val="1"/>
          <w:numId w:val="15"/>
        </w:numPr>
        <w:spacing w:after="0" w:line="240" w:lineRule="auto"/>
        <w:ind w:firstLine="273"/>
        <w:jc w:val="both"/>
        <w:rPr>
          <w:rFonts w:ascii="Arial" w:eastAsia="Times New Roman" w:hAnsi="Arial" w:cs="Arial"/>
          <w:bCs/>
          <w:lang w:eastAsia="cs-CZ"/>
        </w:rPr>
      </w:pPr>
      <w:r w:rsidRPr="004B6E54">
        <w:rPr>
          <w:rFonts w:ascii="Arial" w:eastAsia="Times New Roman" w:hAnsi="Arial" w:cs="Arial"/>
          <w:bCs/>
          <w:lang w:eastAsia="cs-CZ"/>
        </w:rPr>
        <w:t>pojištění čelního skla;</w:t>
      </w:r>
    </w:p>
    <w:p w:rsidR="003B3DAD" w:rsidRPr="004B6E54" w:rsidRDefault="003B3DAD" w:rsidP="003B3DAD">
      <w:pPr>
        <w:numPr>
          <w:ilvl w:val="1"/>
          <w:numId w:val="15"/>
        </w:numPr>
        <w:spacing w:after="0" w:line="240" w:lineRule="auto"/>
        <w:ind w:firstLine="273"/>
        <w:jc w:val="both"/>
        <w:rPr>
          <w:rFonts w:ascii="Arial" w:eastAsia="Times New Roman" w:hAnsi="Arial" w:cs="Arial"/>
          <w:bCs/>
          <w:lang w:eastAsia="cs-CZ"/>
        </w:rPr>
      </w:pPr>
      <w:r w:rsidRPr="004B6E54">
        <w:rPr>
          <w:rFonts w:ascii="Arial" w:eastAsia="Times New Roman" w:hAnsi="Arial" w:cs="Arial"/>
          <w:bCs/>
          <w:lang w:eastAsia="cs-CZ"/>
        </w:rPr>
        <w:t>maximální spoluúčast 5%;</w:t>
      </w:r>
    </w:p>
    <w:p w:rsidR="003B3DAD" w:rsidRPr="004B6E54" w:rsidRDefault="003B3DAD" w:rsidP="003B3DAD">
      <w:pPr>
        <w:keepNext/>
        <w:numPr>
          <w:ilvl w:val="1"/>
          <w:numId w:val="20"/>
        </w:numPr>
        <w:spacing w:before="240" w:after="0" w:line="240" w:lineRule="auto"/>
        <w:outlineLvl w:val="1"/>
        <w:rPr>
          <w:rFonts w:ascii="Arial" w:eastAsia="Times New Roman" w:hAnsi="Arial" w:cs="Arial"/>
          <w:b/>
          <w:bCs/>
          <w:i/>
          <w:iCs/>
          <w:lang w:eastAsia="cs-CZ"/>
        </w:rPr>
      </w:pPr>
      <w:r w:rsidRPr="004B6E54">
        <w:rPr>
          <w:rFonts w:ascii="Arial" w:eastAsia="Times New Roman" w:hAnsi="Arial" w:cs="Arial"/>
          <w:b/>
          <w:bCs/>
          <w:i/>
          <w:iCs/>
          <w:lang w:eastAsia="cs-CZ"/>
        </w:rPr>
        <w:lastRenderedPageBreak/>
        <w:t>Rozsah požadovaného pojištění – předmět veřejné zakázky, technická specifikace</w:t>
      </w:r>
    </w:p>
    <w:p w:rsidR="003B3DAD" w:rsidRPr="004B6E54" w:rsidRDefault="003B3DAD" w:rsidP="003B3DAD">
      <w:pPr>
        <w:spacing w:after="0" w:line="240" w:lineRule="auto"/>
        <w:rPr>
          <w:rFonts w:ascii="Arial" w:eastAsia="Times New Roman" w:hAnsi="Arial" w:cs="Arial"/>
          <w:lang w:eastAsia="cs-CZ"/>
        </w:rPr>
      </w:pPr>
    </w:p>
    <w:p w:rsidR="003B3DAD" w:rsidRPr="004B6E54" w:rsidRDefault="003B3DAD" w:rsidP="003B3DAD">
      <w:p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     Předmětem veřejné zakázky je pojištění vozidel úřadu práce, včetně návrhu smluv této služby. Vítěz zakázky by měl zajistit nejvýhodnější ceny pojištění, potřebnou kvalitu a spolehlivost dodávané služby. </w:t>
      </w:r>
    </w:p>
    <w:p w:rsidR="003B3DAD" w:rsidRPr="004B6E54" w:rsidRDefault="003B3DAD" w:rsidP="003B3DAD">
      <w:pPr>
        <w:spacing w:after="0" w:line="240" w:lineRule="auto"/>
        <w:rPr>
          <w:rFonts w:ascii="Arial" w:eastAsia="Times New Roman" w:hAnsi="Arial" w:cs="Arial"/>
          <w:lang w:eastAsia="cs-CZ"/>
        </w:rPr>
      </w:pPr>
    </w:p>
    <w:p w:rsidR="003B3DAD" w:rsidRPr="004B6E54" w:rsidRDefault="003B3DAD" w:rsidP="003B3DAD">
      <w:pPr>
        <w:keepNext/>
        <w:numPr>
          <w:ilvl w:val="2"/>
          <w:numId w:val="0"/>
        </w:numPr>
        <w:tabs>
          <w:tab w:val="num" w:pos="720"/>
        </w:tabs>
        <w:spacing w:before="240" w:after="60" w:line="240" w:lineRule="auto"/>
        <w:ind w:left="720" w:hanging="720"/>
        <w:outlineLvl w:val="2"/>
        <w:rPr>
          <w:rFonts w:ascii="Arial" w:eastAsia="Times New Roman" w:hAnsi="Arial" w:cs="Arial"/>
          <w:b/>
          <w:bCs/>
          <w:sz w:val="26"/>
          <w:szCs w:val="26"/>
          <w:lang w:eastAsia="cs-CZ"/>
        </w:rPr>
      </w:pPr>
      <w:r w:rsidRPr="004B6E54">
        <w:rPr>
          <w:rFonts w:ascii="Arial" w:eastAsia="Times New Roman" w:hAnsi="Arial" w:cs="Arial"/>
          <w:b/>
          <w:bCs/>
          <w:sz w:val="26"/>
          <w:szCs w:val="26"/>
          <w:lang w:eastAsia="cs-CZ"/>
        </w:rPr>
        <w:t xml:space="preserve">Základní informace o vozidlech úřadu práce. </w:t>
      </w:r>
    </w:p>
    <w:p w:rsidR="003B3DAD" w:rsidRPr="004B6E54" w:rsidRDefault="003B3DAD" w:rsidP="003B3DAD">
      <w:pPr>
        <w:spacing w:after="0" w:line="240" w:lineRule="auto"/>
        <w:ind w:left="360"/>
        <w:rPr>
          <w:rFonts w:ascii="Arial" w:eastAsia="Times New Roman" w:hAnsi="Arial" w:cs="Arial"/>
          <w:lang w:eastAsia="cs-CZ"/>
        </w:rPr>
      </w:pPr>
    </w:p>
    <w:p w:rsidR="003B3DAD" w:rsidRPr="004B6E54" w:rsidRDefault="003B3DAD" w:rsidP="003B3DAD">
      <w:pPr>
        <w:spacing w:after="0" w:line="240" w:lineRule="auto"/>
        <w:ind w:firstLine="360"/>
        <w:jc w:val="both"/>
        <w:rPr>
          <w:rFonts w:ascii="Arial" w:eastAsia="Times New Roman" w:hAnsi="Arial" w:cs="Arial"/>
          <w:lang w:eastAsia="cs-CZ"/>
        </w:rPr>
      </w:pPr>
      <w:r w:rsidRPr="004B6E54">
        <w:rPr>
          <w:rFonts w:ascii="Arial" w:eastAsia="Times New Roman" w:hAnsi="Arial" w:cs="Arial"/>
          <w:lang w:eastAsia="cs-CZ"/>
        </w:rPr>
        <w:t>Nejdůležitější informace o vozidlech úřadu práce jsou uvedeny v Příloze č.1. Z hlediska předpokládané životnosti, je v této tabulce uveden počet vozidel, která budou předmětem cenové kalkulace pojištění. V této predikci nejsou zahrnuta rizika, vyplývající z havárií vozidel (dále neprovozuschopná) nebo technické nezpůsobilosti (neprovozuschopná z technických příčin). Návrh smlouvy musí předpokládat způsob řešení, jak bude v případě obměny  postupováno. Objektivně je nutné počítat s odchylkou do 10%.</w:t>
      </w:r>
    </w:p>
    <w:p w:rsidR="003B3DAD" w:rsidRPr="004B6E54" w:rsidRDefault="003B3DAD" w:rsidP="003B3DAD">
      <w:pPr>
        <w:spacing w:after="0" w:line="240" w:lineRule="auto"/>
        <w:ind w:firstLine="360"/>
        <w:jc w:val="both"/>
        <w:rPr>
          <w:rFonts w:ascii="Arial" w:eastAsia="Times New Roman" w:hAnsi="Arial" w:cs="Arial"/>
          <w:lang w:eastAsia="cs-CZ"/>
        </w:rPr>
      </w:pPr>
    </w:p>
    <w:p w:rsidR="003B3DAD" w:rsidRPr="004B6E54" w:rsidRDefault="003B3DAD" w:rsidP="003B3DAD">
      <w:pPr>
        <w:keepNext/>
        <w:numPr>
          <w:ilvl w:val="2"/>
          <w:numId w:val="0"/>
        </w:numPr>
        <w:tabs>
          <w:tab w:val="num" w:pos="720"/>
        </w:tabs>
        <w:spacing w:before="240" w:after="60" w:line="240" w:lineRule="auto"/>
        <w:ind w:left="720" w:hanging="720"/>
        <w:outlineLvl w:val="2"/>
        <w:rPr>
          <w:rFonts w:ascii="Arial" w:eastAsia="Times New Roman" w:hAnsi="Arial" w:cs="Arial"/>
          <w:b/>
          <w:bCs/>
          <w:sz w:val="26"/>
          <w:szCs w:val="26"/>
          <w:lang w:eastAsia="cs-CZ"/>
        </w:rPr>
      </w:pPr>
      <w:r w:rsidRPr="004B6E54">
        <w:rPr>
          <w:rFonts w:ascii="Arial" w:eastAsia="Times New Roman" w:hAnsi="Arial" w:cs="Arial"/>
          <w:b/>
          <w:bCs/>
          <w:sz w:val="26"/>
          <w:szCs w:val="26"/>
          <w:lang w:eastAsia="cs-CZ"/>
        </w:rPr>
        <w:t xml:space="preserve">Základní informace o provozu vozidel. </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ind w:firstLine="360"/>
        <w:jc w:val="both"/>
        <w:rPr>
          <w:rFonts w:ascii="Arial" w:eastAsia="Times New Roman" w:hAnsi="Arial" w:cs="Arial"/>
          <w:lang w:eastAsia="cs-CZ"/>
        </w:rPr>
      </w:pPr>
      <w:r w:rsidRPr="004B6E54">
        <w:rPr>
          <w:rFonts w:ascii="Arial" w:eastAsia="Times New Roman" w:hAnsi="Arial" w:cs="Arial"/>
          <w:lang w:eastAsia="cs-CZ"/>
        </w:rPr>
        <w:t xml:space="preserve">Vozidla úřadu práce jsou provozována jako referentská. </w:t>
      </w:r>
    </w:p>
    <w:p w:rsidR="003B3DAD" w:rsidRPr="004B6E54" w:rsidRDefault="003B3DAD" w:rsidP="003B3DAD">
      <w:pPr>
        <w:spacing w:after="0" w:line="240" w:lineRule="auto"/>
        <w:ind w:firstLine="360"/>
        <w:jc w:val="both"/>
        <w:rPr>
          <w:rFonts w:ascii="Arial" w:eastAsia="Times New Roman" w:hAnsi="Arial" w:cs="Arial"/>
          <w:lang w:eastAsia="cs-CZ"/>
        </w:rPr>
      </w:pPr>
      <w:r w:rsidRPr="004B6E54">
        <w:rPr>
          <w:rFonts w:ascii="Arial" w:eastAsia="Times New Roman" w:hAnsi="Arial" w:cs="Arial"/>
          <w:lang w:eastAsia="cs-CZ"/>
        </w:rPr>
        <w:t xml:space="preserve">Provozní oddělení zajišťují správu nad vozidly od jejich pořízení, provozování až po jejich vyřazování. </w:t>
      </w:r>
    </w:p>
    <w:p w:rsidR="003B3DAD" w:rsidRPr="004B6E54" w:rsidRDefault="003B3DAD" w:rsidP="003B3DAD">
      <w:pPr>
        <w:spacing w:after="0" w:line="240" w:lineRule="auto"/>
        <w:ind w:firstLine="360"/>
        <w:jc w:val="both"/>
        <w:rPr>
          <w:rFonts w:ascii="Arial" w:eastAsia="Times New Roman" w:hAnsi="Arial" w:cs="Arial"/>
          <w:lang w:eastAsia="cs-CZ"/>
        </w:rPr>
      </w:pPr>
    </w:p>
    <w:p w:rsidR="003B3DAD" w:rsidRPr="004B6E54" w:rsidRDefault="003B3DAD" w:rsidP="003B3DAD">
      <w:pPr>
        <w:keepNext/>
        <w:numPr>
          <w:ilvl w:val="1"/>
          <w:numId w:val="0"/>
        </w:numPr>
        <w:tabs>
          <w:tab w:val="num" w:pos="576"/>
        </w:tabs>
        <w:spacing w:before="240" w:after="60" w:line="240" w:lineRule="auto"/>
        <w:ind w:left="576" w:hanging="576"/>
        <w:outlineLvl w:val="1"/>
        <w:rPr>
          <w:rFonts w:ascii="Arial" w:eastAsia="Times New Roman" w:hAnsi="Arial" w:cs="Arial"/>
          <w:b/>
          <w:bCs/>
          <w:i/>
          <w:iCs/>
          <w:sz w:val="28"/>
          <w:szCs w:val="28"/>
          <w:lang w:eastAsia="cs-CZ"/>
        </w:rPr>
      </w:pPr>
      <w:r w:rsidRPr="004B6E54">
        <w:rPr>
          <w:rFonts w:ascii="Arial" w:eastAsia="Times New Roman" w:hAnsi="Arial" w:cs="Arial"/>
          <w:b/>
          <w:bCs/>
          <w:i/>
          <w:iCs/>
          <w:sz w:val="28"/>
          <w:szCs w:val="28"/>
          <w:lang w:eastAsia="cs-CZ"/>
        </w:rPr>
        <w:t>Rozsah požadovaného pojištění</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ind w:firstLine="360"/>
        <w:jc w:val="both"/>
        <w:rPr>
          <w:rFonts w:ascii="Arial" w:eastAsia="Times New Roman" w:hAnsi="Arial" w:cs="Arial"/>
          <w:lang w:eastAsia="cs-CZ"/>
        </w:rPr>
      </w:pPr>
      <w:r w:rsidRPr="004B6E54">
        <w:rPr>
          <w:rFonts w:ascii="Arial" w:eastAsia="Times New Roman" w:hAnsi="Arial" w:cs="Arial"/>
          <w:lang w:eastAsia="cs-CZ"/>
        </w:rPr>
        <w:t>Je požadován tento rozsah pojištění a služeb :</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7"/>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zákonné pojištění,</w:t>
      </w:r>
    </w:p>
    <w:p w:rsidR="003B3DAD" w:rsidRPr="004B6E54" w:rsidRDefault="003B3DAD" w:rsidP="003B3DAD">
      <w:pPr>
        <w:numPr>
          <w:ilvl w:val="0"/>
          <w:numId w:val="17"/>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havarijní pojištění,</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keepNext/>
        <w:numPr>
          <w:ilvl w:val="1"/>
          <w:numId w:val="0"/>
        </w:numPr>
        <w:tabs>
          <w:tab w:val="num" w:pos="576"/>
        </w:tabs>
        <w:spacing w:before="240" w:after="60" w:line="240" w:lineRule="auto"/>
        <w:ind w:left="576" w:hanging="576"/>
        <w:outlineLvl w:val="1"/>
        <w:rPr>
          <w:rFonts w:ascii="Arial" w:eastAsia="Times New Roman" w:hAnsi="Arial" w:cs="Arial"/>
          <w:b/>
          <w:bCs/>
          <w:i/>
          <w:iCs/>
          <w:sz w:val="28"/>
          <w:szCs w:val="28"/>
          <w:lang w:eastAsia="cs-CZ"/>
        </w:rPr>
      </w:pPr>
      <w:r w:rsidRPr="004B6E54">
        <w:rPr>
          <w:rFonts w:ascii="Arial" w:eastAsia="Times New Roman" w:hAnsi="Arial" w:cs="Arial"/>
          <w:b/>
          <w:bCs/>
          <w:i/>
          <w:iCs/>
          <w:sz w:val="28"/>
          <w:szCs w:val="28"/>
          <w:lang w:eastAsia="cs-CZ"/>
        </w:rPr>
        <w:t>Obsahové požadavky na jednotlivé složky pojištění</w:t>
      </w:r>
    </w:p>
    <w:p w:rsidR="003B3DAD" w:rsidRPr="004B6E54" w:rsidRDefault="003B3DAD" w:rsidP="003B3DAD">
      <w:pPr>
        <w:tabs>
          <w:tab w:val="num" w:pos="720"/>
        </w:tabs>
        <w:spacing w:after="0" w:line="240" w:lineRule="auto"/>
        <w:ind w:left="720" w:hanging="360"/>
        <w:jc w:val="both"/>
        <w:rPr>
          <w:rFonts w:ascii="Arial" w:eastAsia="Times New Roman" w:hAnsi="Arial" w:cs="Arial"/>
          <w:lang w:eastAsia="cs-CZ"/>
        </w:rPr>
      </w:pPr>
    </w:p>
    <w:p w:rsidR="003B3DAD" w:rsidRPr="004B6E54" w:rsidRDefault="003B3DAD" w:rsidP="003B3DAD">
      <w:pPr>
        <w:tabs>
          <w:tab w:val="num" w:pos="720"/>
        </w:tabs>
        <w:spacing w:after="0" w:line="240" w:lineRule="auto"/>
        <w:jc w:val="both"/>
        <w:rPr>
          <w:rFonts w:ascii="Arial" w:eastAsia="Times New Roman" w:hAnsi="Arial" w:cs="Arial"/>
          <w:lang w:eastAsia="cs-CZ"/>
        </w:rPr>
      </w:pPr>
      <w:r w:rsidRPr="004B6E54">
        <w:rPr>
          <w:rFonts w:ascii="Arial" w:eastAsia="Times New Roman" w:hAnsi="Arial" w:cs="Arial"/>
          <w:lang w:eastAsia="cs-CZ"/>
        </w:rPr>
        <w:tab/>
        <w:t>Pro všechna pojištění se předpokládá provoz na celém území České republiky nebo cizího státu „Evropa“ uvedeného v seznamu, který stanovuje Ministerstvo financí vyhláškou. Pojistitel je povinen tuto platnost pojištění vyznačit na zelené kartě. Pojištění na území jiných států tímto není vyloučeno.</w:t>
      </w:r>
    </w:p>
    <w:p w:rsidR="003B3DAD" w:rsidRPr="004B6E54" w:rsidRDefault="003B3DAD" w:rsidP="003B3DAD">
      <w:pPr>
        <w:tabs>
          <w:tab w:val="num" w:pos="720"/>
        </w:tabs>
        <w:spacing w:after="0" w:line="240" w:lineRule="auto"/>
        <w:jc w:val="both"/>
        <w:rPr>
          <w:rFonts w:ascii="Arial" w:eastAsia="Times New Roman" w:hAnsi="Arial" w:cs="Arial"/>
          <w:lang w:eastAsia="cs-CZ"/>
        </w:rPr>
      </w:pPr>
    </w:p>
    <w:p w:rsidR="003B3DAD" w:rsidRPr="004B6E54" w:rsidRDefault="003B3DAD" w:rsidP="003B3DAD">
      <w:pPr>
        <w:numPr>
          <w:ilvl w:val="0"/>
          <w:numId w:val="18"/>
        </w:numPr>
        <w:spacing w:after="0" w:line="240" w:lineRule="auto"/>
        <w:jc w:val="both"/>
        <w:rPr>
          <w:rFonts w:ascii="Arial" w:eastAsia="Times New Roman" w:hAnsi="Arial" w:cs="Arial"/>
          <w:lang w:eastAsia="cs-CZ"/>
        </w:rPr>
      </w:pPr>
      <w:r w:rsidRPr="004B6E54">
        <w:rPr>
          <w:rFonts w:ascii="Arial" w:eastAsia="Times New Roman" w:hAnsi="Arial" w:cs="Arial"/>
          <w:b/>
          <w:lang w:eastAsia="cs-CZ"/>
        </w:rPr>
        <w:t>Zákonné pojištění</w:t>
      </w:r>
      <w:r w:rsidRPr="004B6E54">
        <w:rPr>
          <w:rFonts w:ascii="Arial" w:eastAsia="Times New Roman" w:hAnsi="Arial" w:cs="Arial"/>
          <w:lang w:eastAsia="cs-CZ"/>
        </w:rPr>
        <w:t xml:space="preserve"> v rozsahu zákona č.168/1999 Sb., a prováděcí vyhlášky k tomuto zákonu č.205/1999Sb.</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jc w:val="both"/>
        <w:rPr>
          <w:rFonts w:ascii="Arial" w:eastAsia="Times New Roman" w:hAnsi="Arial" w:cs="Arial"/>
          <w:lang w:eastAsia="cs-CZ"/>
        </w:rPr>
      </w:pPr>
      <w:r w:rsidRPr="004B6E54">
        <w:rPr>
          <w:rFonts w:ascii="Arial" w:eastAsia="Times New Roman" w:hAnsi="Arial" w:cs="Arial"/>
          <w:lang w:eastAsia="cs-CZ"/>
        </w:rPr>
        <w:t>Jedná se zejména o :</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9"/>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škody na zdraví nebo usmrcení, tj. včetně nákladů na léčení zraněného vynaložené zdravotní pojišťovnou, bolestné, ztráta na výdělku v průběhu a po skončení pracovní neschopnosti, ztížené společenské uplatnění, ztráta na důchodu, náklady na výživu pozůstalých minimálně 50 miliónů Kč na osobu,</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numPr>
          <w:ilvl w:val="0"/>
          <w:numId w:val="19"/>
        </w:numPr>
        <w:spacing w:after="0" w:line="240" w:lineRule="auto"/>
        <w:jc w:val="both"/>
        <w:rPr>
          <w:rFonts w:ascii="Arial" w:eastAsia="Times New Roman" w:hAnsi="Arial" w:cs="Arial"/>
          <w:lang w:eastAsia="cs-CZ"/>
        </w:rPr>
      </w:pPr>
      <w:r w:rsidRPr="004B6E54">
        <w:rPr>
          <w:rFonts w:ascii="Arial" w:eastAsia="Times New Roman" w:hAnsi="Arial" w:cs="Arial"/>
          <w:lang w:eastAsia="cs-CZ"/>
        </w:rPr>
        <w:lastRenderedPageBreak/>
        <w:t>věcné škody na majetku a životním prostředí, včetně ušlého zisku poškozeného, tj. skutečná škoda na věci včetně nákladů, spojených s jejím odstraňováním minimálně 30 miliónů Kč,</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9"/>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účelně vynaložené náklady na právní zastoupení pojištěného nebo poškozeného při uplatňování nároků na náhradu škody, včetně obhajoby nebo občanského soudního řízení.</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8"/>
        </w:numPr>
        <w:spacing w:after="0" w:line="240" w:lineRule="auto"/>
        <w:jc w:val="both"/>
        <w:rPr>
          <w:rFonts w:ascii="Arial" w:eastAsia="Times New Roman" w:hAnsi="Arial" w:cs="Arial"/>
          <w:lang w:eastAsia="cs-CZ"/>
        </w:rPr>
      </w:pPr>
      <w:r w:rsidRPr="004B6E54">
        <w:rPr>
          <w:rFonts w:ascii="Arial" w:eastAsia="Times New Roman" w:hAnsi="Arial" w:cs="Arial"/>
          <w:b/>
          <w:lang w:eastAsia="cs-CZ"/>
        </w:rPr>
        <w:t>Havarijní pojištění</w:t>
      </w:r>
      <w:r w:rsidRPr="004B6E54">
        <w:rPr>
          <w:rFonts w:ascii="Arial" w:eastAsia="Times New Roman" w:hAnsi="Arial" w:cs="Arial"/>
          <w:lang w:eastAsia="cs-CZ"/>
        </w:rPr>
        <w:t xml:space="preserve"> v souladu se zákonem č.37/2004 Sb.</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jc w:val="both"/>
        <w:rPr>
          <w:rFonts w:ascii="Arial" w:eastAsia="Times New Roman" w:hAnsi="Arial" w:cs="Arial"/>
          <w:lang w:eastAsia="cs-CZ"/>
        </w:rPr>
      </w:pPr>
      <w:r w:rsidRPr="004B6E54">
        <w:rPr>
          <w:rFonts w:ascii="Arial" w:eastAsia="Times New Roman" w:hAnsi="Arial" w:cs="Arial"/>
          <w:lang w:eastAsia="cs-CZ"/>
        </w:rPr>
        <w:t>Jedná se zejména o ochranu :</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9"/>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před škodami způsobenými živly,</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9"/>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poškození nebo zničení nahodilou událostí,</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9"/>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před zcizením vozidla,</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9"/>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poškození nebo zničení vozidla cizí osobou (vandalismus),</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19"/>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proti rozbití čelního skla</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jc w:val="both"/>
        <w:rPr>
          <w:rFonts w:ascii="Arial" w:eastAsia="Times New Roman" w:hAnsi="Arial" w:cs="Arial"/>
          <w:lang w:eastAsia="cs-CZ"/>
        </w:rPr>
      </w:pPr>
      <w:r w:rsidRPr="004B6E54">
        <w:rPr>
          <w:rFonts w:ascii="Arial" w:eastAsia="Times New Roman" w:hAnsi="Arial" w:cs="Arial"/>
          <w:lang w:eastAsia="cs-CZ"/>
        </w:rPr>
        <w:t>Volitelná spoluúčast 5%, minimálně 5.000,- Kč.</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ind w:firstLine="360"/>
        <w:jc w:val="both"/>
        <w:rPr>
          <w:rFonts w:ascii="Arial" w:eastAsia="Times New Roman" w:hAnsi="Arial" w:cs="Arial"/>
          <w:lang w:eastAsia="cs-CZ"/>
        </w:rPr>
      </w:pPr>
      <w:r w:rsidRPr="004B6E54">
        <w:rPr>
          <w:rFonts w:ascii="Arial" w:eastAsia="Times New Roman" w:hAnsi="Arial" w:cs="Arial"/>
          <w:lang w:eastAsia="cs-CZ"/>
        </w:rPr>
        <w:t xml:space="preserve">Obsahem výše uvedených požadavků jsou ochrany před požárem, výbuchem, zřícením skal, zemin, úderem blesku, pádem stromů, stožárů nebo jiných konstrukcí, povodněmi, záplavami, krupobitím, vichřicí, působením vnějších sil např. střetem, nárazem, pádem apod., střetem se zvěří, krádeží, loupeží, krádeží vloupáním, ztrátou vozidla, úmyslným či neúmyslným jednání osob. </w:t>
      </w:r>
    </w:p>
    <w:p w:rsidR="003B3DAD" w:rsidRPr="004B6E54" w:rsidRDefault="003B3DAD" w:rsidP="003B3DAD">
      <w:pPr>
        <w:spacing w:after="0" w:line="240" w:lineRule="auto"/>
        <w:ind w:firstLine="360"/>
        <w:jc w:val="both"/>
        <w:rPr>
          <w:rFonts w:ascii="Arial" w:eastAsia="Times New Roman" w:hAnsi="Arial" w:cs="Arial"/>
          <w:lang w:eastAsia="cs-CZ"/>
        </w:rPr>
      </w:pPr>
    </w:p>
    <w:p w:rsidR="003B3DAD" w:rsidRPr="004B6E54" w:rsidRDefault="003B3DAD" w:rsidP="003B3DAD">
      <w:pPr>
        <w:spacing w:after="0" w:line="240" w:lineRule="auto"/>
        <w:ind w:firstLine="360"/>
        <w:jc w:val="both"/>
        <w:rPr>
          <w:rFonts w:ascii="Arial" w:eastAsia="Times New Roman" w:hAnsi="Arial" w:cs="Arial"/>
          <w:b/>
          <w:lang w:eastAsia="cs-CZ"/>
        </w:rPr>
      </w:pPr>
      <w:r w:rsidRPr="004B6E54">
        <w:rPr>
          <w:rFonts w:ascii="Arial" w:eastAsia="Times New Roman" w:hAnsi="Arial" w:cs="Arial"/>
          <w:b/>
          <w:lang w:eastAsia="cs-CZ"/>
        </w:rPr>
        <w:t>Zadavatel si nepřeje zapracovat do návrhů smluvních požadavků připojištění dalších rizik (např. pojištění přepravovaných osob nebo zavazadel).</w:t>
      </w:r>
    </w:p>
    <w:p w:rsidR="003B3DAD" w:rsidRPr="004B6E54" w:rsidRDefault="003B3DAD" w:rsidP="003B3DAD">
      <w:pPr>
        <w:spacing w:after="0" w:line="240" w:lineRule="auto"/>
        <w:ind w:firstLine="360"/>
        <w:jc w:val="both"/>
        <w:rPr>
          <w:rFonts w:ascii="Arial" w:eastAsia="Times New Roman" w:hAnsi="Arial" w:cs="Arial"/>
          <w:lang w:eastAsia="cs-CZ"/>
        </w:rPr>
      </w:pP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keepNext/>
        <w:numPr>
          <w:ilvl w:val="1"/>
          <w:numId w:val="0"/>
        </w:numPr>
        <w:tabs>
          <w:tab w:val="num" w:pos="576"/>
        </w:tabs>
        <w:spacing w:before="240" w:after="60" w:line="240" w:lineRule="auto"/>
        <w:ind w:left="576" w:hanging="576"/>
        <w:outlineLvl w:val="1"/>
        <w:rPr>
          <w:rFonts w:ascii="Arial" w:eastAsia="Times New Roman" w:hAnsi="Arial" w:cs="Arial"/>
          <w:b/>
          <w:bCs/>
          <w:i/>
          <w:iCs/>
          <w:sz w:val="28"/>
          <w:szCs w:val="28"/>
          <w:lang w:eastAsia="cs-CZ"/>
        </w:rPr>
      </w:pPr>
      <w:r w:rsidRPr="004B6E54">
        <w:rPr>
          <w:rFonts w:ascii="Arial" w:eastAsia="Times New Roman" w:hAnsi="Arial" w:cs="Arial"/>
          <w:b/>
          <w:bCs/>
          <w:i/>
          <w:iCs/>
          <w:sz w:val="28"/>
          <w:szCs w:val="28"/>
          <w:lang w:eastAsia="cs-CZ"/>
        </w:rPr>
        <w:t>Ostatní požadavky na zpracování nabídky</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spacing w:after="0" w:line="240" w:lineRule="auto"/>
        <w:ind w:firstLine="360"/>
        <w:jc w:val="both"/>
        <w:rPr>
          <w:rFonts w:ascii="Arial" w:eastAsia="Times New Roman" w:hAnsi="Arial" w:cs="Arial"/>
          <w:lang w:eastAsia="cs-CZ"/>
        </w:rPr>
      </w:pPr>
      <w:r w:rsidRPr="004B6E54">
        <w:rPr>
          <w:rFonts w:ascii="Arial" w:eastAsia="Times New Roman" w:hAnsi="Arial" w:cs="Arial"/>
          <w:lang w:eastAsia="cs-CZ"/>
        </w:rPr>
        <w:t>S informacemi a údaji uvedenými v jednotlivých částech zadávací dokumentace, o kterých lze předpokládat, že na jejich utajení má zadavatel oprávněný zájem, a které nejsou v obchodních kruzích běžně dostupné, bude uchazeč nakládat jako s vlastním obchodním tajemstvím, aniž by bylo nutné takové informace jako důvěrné jednotlivě označovat.</w:t>
      </w:r>
    </w:p>
    <w:p w:rsidR="003B3DAD" w:rsidRPr="004B6E54" w:rsidRDefault="003B3DAD" w:rsidP="003B3DAD">
      <w:pPr>
        <w:spacing w:after="0" w:line="240" w:lineRule="auto"/>
        <w:ind w:firstLine="360"/>
        <w:jc w:val="both"/>
        <w:rPr>
          <w:rFonts w:ascii="Arial" w:eastAsia="Times New Roman" w:hAnsi="Arial" w:cs="Arial"/>
          <w:lang w:eastAsia="cs-CZ"/>
        </w:rPr>
      </w:pPr>
      <w:r w:rsidRPr="004B6E54">
        <w:rPr>
          <w:rFonts w:ascii="Arial" w:eastAsia="Times New Roman" w:hAnsi="Arial" w:cs="Arial"/>
          <w:lang w:eastAsia="cs-CZ"/>
        </w:rPr>
        <w:t>Nabídka uchazeče musí obsahovat návrhy smluv pojištění vozidel včetně návrhu konkrétních obchodních podmínek.</w:t>
      </w:r>
    </w:p>
    <w:p w:rsidR="003B3DAD" w:rsidRPr="004B6E54" w:rsidRDefault="003B3DAD" w:rsidP="003B3DAD">
      <w:pPr>
        <w:spacing w:after="0" w:line="240" w:lineRule="auto"/>
        <w:ind w:firstLine="360"/>
        <w:jc w:val="both"/>
        <w:rPr>
          <w:rFonts w:ascii="Arial" w:eastAsia="Times New Roman" w:hAnsi="Arial" w:cs="Arial"/>
          <w:lang w:eastAsia="cs-CZ"/>
        </w:rPr>
      </w:pPr>
      <w:r w:rsidRPr="004B6E54">
        <w:rPr>
          <w:rFonts w:ascii="Arial" w:eastAsia="Times New Roman" w:hAnsi="Arial" w:cs="Arial"/>
          <w:lang w:eastAsia="cs-CZ"/>
        </w:rPr>
        <w:t>Nabídka uchazeče musí obsahovat podrobnou cenovou nabídku při splnění minimálních požadavků uvedených v článku 2.4.</w:t>
      </w:r>
    </w:p>
    <w:p w:rsidR="003B3DAD" w:rsidRPr="004B6E54" w:rsidRDefault="003B3DAD" w:rsidP="003B3DAD">
      <w:pPr>
        <w:spacing w:after="0" w:line="240" w:lineRule="auto"/>
        <w:jc w:val="both"/>
        <w:rPr>
          <w:rFonts w:ascii="Arial" w:eastAsia="Times New Roman" w:hAnsi="Arial" w:cs="Arial"/>
          <w:bCs/>
          <w:lang w:eastAsia="cs-CZ"/>
        </w:rPr>
      </w:pP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z w:val="24"/>
          <w:szCs w:val="24"/>
          <w:lang w:eastAsia="cs-CZ"/>
        </w:rPr>
      </w:pPr>
      <w:r w:rsidRPr="004B6E54">
        <w:rPr>
          <w:rFonts w:ascii="Arial" w:eastAsia="Times New Roman" w:hAnsi="Arial" w:cs="Arial"/>
          <w:b/>
          <w:bCs/>
          <w:i/>
          <w:iCs/>
          <w:sz w:val="24"/>
          <w:szCs w:val="24"/>
          <w:lang w:eastAsia="cs-CZ"/>
        </w:rPr>
        <w:t>Zadávací dokumentace</w:t>
      </w:r>
      <w:bookmarkEnd w:id="14"/>
      <w:bookmarkEnd w:id="15"/>
    </w:p>
    <w:p w:rsidR="003B3DAD" w:rsidRPr="004B6E54" w:rsidRDefault="003B3DAD" w:rsidP="003B3DAD">
      <w:pPr>
        <w:keepNext/>
        <w:spacing w:before="240" w:after="60" w:line="240" w:lineRule="auto"/>
        <w:jc w:val="both"/>
        <w:outlineLvl w:val="1"/>
        <w:rPr>
          <w:rFonts w:ascii="Arial" w:eastAsia="Times New Roman" w:hAnsi="Arial" w:cs="Arial"/>
          <w:bCs/>
          <w:iCs/>
          <w:sz w:val="24"/>
          <w:szCs w:val="24"/>
          <w:lang w:eastAsia="cs-CZ"/>
        </w:rPr>
      </w:pPr>
      <w:r w:rsidRPr="004B6E54">
        <w:rPr>
          <w:rFonts w:ascii="Arial" w:eastAsia="Times New Roman" w:hAnsi="Arial" w:cs="Arial"/>
          <w:bCs/>
          <w:iCs/>
          <w:sz w:val="24"/>
          <w:szCs w:val="24"/>
          <w:lang w:eastAsia="cs-CZ"/>
        </w:rPr>
        <w:t xml:space="preserve">Informace a údaje uvedené v jednotlivých částech této zadávací dokumentace a v přílohách zadávací dokumentace vymezují závazné požadavky zadavatele na plnění veřejné zakázky. Tyto požadavky je uchazeč povinen plně a bezvýjimečně respektovat při zpracování své nabídky a ve své nabídce je akceptovat. Neakceptování požadavků zadavatele uvedených v této zadávací dokumentaci a v </w:t>
      </w:r>
      <w:r w:rsidRPr="004B6E54">
        <w:rPr>
          <w:rFonts w:ascii="Arial" w:eastAsia="Times New Roman" w:hAnsi="Arial" w:cs="Arial"/>
          <w:bCs/>
          <w:iCs/>
          <w:sz w:val="24"/>
          <w:szCs w:val="24"/>
          <w:lang w:eastAsia="cs-CZ"/>
        </w:rPr>
        <w:lastRenderedPageBreak/>
        <w:t xml:space="preserve">přílohách zadávací dokumentace bude považováno za nesplnění zadávacích podmínek s následkem vyloučení uchazeče z další účasti na zadávacím řízení.  </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z w:val="24"/>
          <w:szCs w:val="24"/>
          <w:lang w:eastAsia="cs-CZ"/>
        </w:rPr>
      </w:pPr>
      <w:r w:rsidRPr="004B6E54">
        <w:rPr>
          <w:rFonts w:ascii="Arial" w:eastAsia="Times New Roman" w:hAnsi="Arial" w:cs="Arial"/>
          <w:b/>
          <w:bCs/>
          <w:i/>
          <w:iCs/>
          <w:sz w:val="24"/>
          <w:szCs w:val="24"/>
          <w:lang w:eastAsia="cs-CZ"/>
        </w:rPr>
        <w:t>Kód klasifikace předmětu veřejné zakázky</w:t>
      </w:r>
    </w:p>
    <w:p w:rsidR="003B3DAD" w:rsidRPr="004B6E54" w:rsidRDefault="003B3DAD" w:rsidP="003B3DAD">
      <w:p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CPV – 66514110-0 … Pojištění motorových vozidel</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r w:rsidRPr="004B6E54">
        <w:rPr>
          <w:rFonts w:ascii="Arial" w:eastAsia="Times New Roman" w:hAnsi="Arial" w:cs="Arial"/>
          <w:b/>
          <w:bCs/>
          <w:kern w:val="32"/>
          <w:sz w:val="24"/>
          <w:szCs w:val="24"/>
          <w:lang w:eastAsia="cs-CZ"/>
        </w:rPr>
        <w:t>Doba a místo plnění veřejné zakázky</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z w:val="24"/>
          <w:szCs w:val="24"/>
          <w:lang w:eastAsia="cs-CZ"/>
        </w:rPr>
      </w:pPr>
      <w:bookmarkStart w:id="16" w:name="_Toc32627413"/>
      <w:bookmarkStart w:id="17" w:name="_Toc102272602"/>
      <w:r w:rsidRPr="004B6E54">
        <w:rPr>
          <w:rFonts w:ascii="Arial" w:eastAsia="Times New Roman" w:hAnsi="Arial" w:cs="Arial"/>
          <w:b/>
          <w:bCs/>
          <w:i/>
          <w:iCs/>
          <w:sz w:val="24"/>
          <w:szCs w:val="24"/>
          <w:lang w:eastAsia="cs-CZ"/>
        </w:rPr>
        <w:t>Doba plnění veřejné zakázky</w:t>
      </w:r>
      <w:bookmarkEnd w:id="16"/>
      <w:bookmarkEnd w:id="17"/>
      <w:r w:rsidRPr="004B6E54">
        <w:rPr>
          <w:rFonts w:ascii="Arial" w:eastAsia="Times New Roman" w:hAnsi="Arial" w:cs="Arial"/>
          <w:b/>
          <w:bCs/>
          <w:i/>
          <w:iCs/>
          <w:sz w:val="24"/>
          <w:szCs w:val="24"/>
          <w:lang w:eastAsia="cs-CZ"/>
        </w:rPr>
        <w:t xml:space="preserve"> </w:t>
      </w:r>
    </w:p>
    <w:p w:rsidR="003B3DAD" w:rsidRPr="004B6E54" w:rsidRDefault="003B3DAD" w:rsidP="003B3DAD">
      <w:p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předpokládá realizaci veřejné zakázky na základě rámcové smlouvy uzavřené s jedním vybraným uchazečem na dobu určitou 1 roku.</w:t>
      </w:r>
    </w:p>
    <w:p w:rsidR="003B3DAD" w:rsidRPr="004B6E54" w:rsidRDefault="003B3DAD" w:rsidP="003B3DAD">
      <w:p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Smlouva bude uzavřena v nejkratším možném termínu po řádném ukončení zadávacího řízení této veřejné zakázky.</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z w:val="24"/>
          <w:szCs w:val="24"/>
          <w:lang w:eastAsia="cs-CZ"/>
        </w:rPr>
      </w:pPr>
      <w:r w:rsidRPr="004B6E54">
        <w:rPr>
          <w:rFonts w:ascii="Arial" w:eastAsia="Times New Roman" w:hAnsi="Arial" w:cs="Arial"/>
          <w:b/>
          <w:bCs/>
          <w:i/>
          <w:iCs/>
          <w:sz w:val="24"/>
          <w:szCs w:val="24"/>
          <w:lang w:eastAsia="cs-CZ"/>
        </w:rPr>
        <w:t>Místo plnění veřejné zakázky</w:t>
      </w:r>
    </w:p>
    <w:p w:rsidR="003B3DAD" w:rsidRPr="004B6E54" w:rsidRDefault="003B3DAD" w:rsidP="003B3DAD">
      <w:p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Místem plnění veřejné zakázky je budova zadavatele, budovy Krajských poboček a Kontaktních pracovišť zadavatele.</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z w:val="24"/>
          <w:szCs w:val="24"/>
          <w:lang w:eastAsia="cs-CZ"/>
        </w:rPr>
      </w:pPr>
      <w:r w:rsidRPr="004B6E54">
        <w:rPr>
          <w:rFonts w:ascii="Arial" w:eastAsia="Times New Roman" w:hAnsi="Arial" w:cs="Arial"/>
          <w:b/>
          <w:bCs/>
          <w:i/>
          <w:iCs/>
          <w:sz w:val="24"/>
          <w:szCs w:val="24"/>
          <w:lang w:eastAsia="cs-CZ"/>
        </w:rPr>
        <w:t>Prohlídka místa plnění</w:t>
      </w:r>
    </w:p>
    <w:p w:rsidR="003B3DAD" w:rsidRPr="004B6E54" w:rsidRDefault="003B3DAD" w:rsidP="003B3DAD">
      <w:p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 ohledem na předmět zadávacího řízení nepředpokládá zadavatel prohlídku místa plnění.</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bookmarkStart w:id="18" w:name="_Toc367545181"/>
      <w:bookmarkStart w:id="19" w:name="_Toc372344910"/>
      <w:bookmarkStart w:id="20" w:name="_Toc372948287"/>
      <w:bookmarkStart w:id="21" w:name="_Toc374193251"/>
      <w:bookmarkStart w:id="22" w:name="_Toc374330758"/>
      <w:bookmarkStart w:id="23" w:name="_Toc374331660"/>
      <w:bookmarkStart w:id="24" w:name="_Toc375639422"/>
      <w:bookmarkStart w:id="25" w:name="_Toc388320447"/>
      <w:bookmarkStart w:id="26" w:name="_Ref401991717"/>
      <w:bookmarkStart w:id="27" w:name="_Toc32627415"/>
      <w:bookmarkStart w:id="28" w:name="_Toc102272385"/>
      <w:bookmarkStart w:id="29" w:name="_Toc102272604"/>
      <w:r w:rsidRPr="004B6E54">
        <w:rPr>
          <w:rFonts w:ascii="Arial" w:eastAsia="Times New Roman" w:hAnsi="Arial" w:cs="Arial"/>
          <w:b/>
          <w:bCs/>
          <w:kern w:val="32"/>
          <w:sz w:val="24"/>
          <w:szCs w:val="24"/>
          <w:lang w:eastAsia="cs-CZ"/>
        </w:rPr>
        <w:t>Kvalifikace uchazečů</w:t>
      </w:r>
      <w:bookmarkEnd w:id="18"/>
      <w:bookmarkEnd w:id="19"/>
      <w:bookmarkEnd w:id="20"/>
      <w:bookmarkEnd w:id="21"/>
      <w:bookmarkEnd w:id="22"/>
      <w:bookmarkEnd w:id="23"/>
      <w:bookmarkEnd w:id="24"/>
      <w:bookmarkEnd w:id="25"/>
      <w:bookmarkEnd w:id="26"/>
      <w:bookmarkEnd w:id="27"/>
      <w:bookmarkEnd w:id="28"/>
      <w:bookmarkEnd w:id="29"/>
    </w:p>
    <w:p w:rsidR="003B3DAD" w:rsidRPr="004B6E54" w:rsidRDefault="003B3DAD" w:rsidP="003B3DAD">
      <w:pPr>
        <w:spacing w:after="0" w:line="240" w:lineRule="auto"/>
        <w:rPr>
          <w:rFonts w:ascii="Arial" w:eastAsia="Times New Roman" w:hAnsi="Arial" w:cs="Arial"/>
          <w:sz w:val="24"/>
          <w:szCs w:val="24"/>
          <w:lang w:eastAsia="cs-CZ"/>
        </w:rPr>
      </w:pPr>
      <w:r w:rsidRPr="004B6E54">
        <w:rPr>
          <w:rFonts w:ascii="Arial" w:eastAsia="Times New Roman" w:hAnsi="Arial" w:cs="Arial"/>
          <w:sz w:val="24"/>
          <w:szCs w:val="24"/>
          <w:lang w:eastAsia="cs-CZ"/>
        </w:rPr>
        <w:t>Uchazeč je povinen v souladu s § 50 ZVZ, v nabídce prokázat splnění kvalifikace.</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Cs/>
          <w:snapToGrid w:val="0"/>
          <w:sz w:val="24"/>
          <w:szCs w:val="24"/>
          <w:lang w:eastAsia="cs-CZ"/>
        </w:rPr>
      </w:pPr>
      <w:bookmarkStart w:id="30" w:name="_Toc153442264"/>
      <w:r w:rsidRPr="004B6E54">
        <w:rPr>
          <w:rFonts w:ascii="Arial" w:eastAsia="Times New Roman" w:hAnsi="Arial" w:cs="Arial"/>
          <w:b/>
          <w:bCs/>
          <w:iCs/>
          <w:snapToGrid w:val="0"/>
          <w:sz w:val="24"/>
          <w:szCs w:val="24"/>
          <w:lang w:eastAsia="cs-CZ"/>
        </w:rPr>
        <w:t>Obecná ustanovení o prokazování splnění kvalifikace</w:t>
      </w:r>
      <w:bookmarkEnd w:id="30"/>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sz w:val="24"/>
          <w:szCs w:val="24"/>
          <w:lang w:eastAsia="cs-CZ"/>
        </w:rPr>
        <w:t xml:space="preserve">Dodavatel je povinen v souladu s § 50 ZVZ prokázat splnění </w:t>
      </w:r>
      <w:r w:rsidRPr="004B6E54">
        <w:rPr>
          <w:rFonts w:ascii="Arial" w:eastAsia="Times New Roman" w:hAnsi="Arial" w:cs="Arial"/>
          <w:iCs/>
          <w:sz w:val="24"/>
          <w:szCs w:val="24"/>
          <w:lang w:eastAsia="cs-CZ"/>
        </w:rPr>
        <w:t xml:space="preserve">kvalifikace. </w:t>
      </w:r>
    </w:p>
    <w:p w:rsidR="003B3DAD" w:rsidRPr="004B6E54" w:rsidRDefault="003B3DAD" w:rsidP="003B3DAD">
      <w:p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Splněním kvalifikace se rozumí:</w:t>
      </w:r>
    </w:p>
    <w:p w:rsidR="003B3DAD" w:rsidRPr="004B6E54" w:rsidRDefault="003B3DAD" w:rsidP="003B3DAD">
      <w:pPr>
        <w:numPr>
          <w:ilvl w:val="0"/>
          <w:numId w:val="10"/>
        </w:numPr>
        <w:spacing w:after="120" w:line="240" w:lineRule="auto"/>
        <w:ind w:left="360"/>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 základních kvalifikačních předpokladů podle § 53 ZVZ,</w:t>
      </w:r>
    </w:p>
    <w:p w:rsidR="003B3DAD" w:rsidRPr="004B6E54" w:rsidRDefault="003B3DAD" w:rsidP="003B3DAD">
      <w:pPr>
        <w:numPr>
          <w:ilvl w:val="0"/>
          <w:numId w:val="10"/>
        </w:numPr>
        <w:spacing w:after="120" w:line="240" w:lineRule="auto"/>
        <w:ind w:left="360"/>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 profesních kvalifikačních předpokladů podle § 54 ZVZ,</w:t>
      </w:r>
    </w:p>
    <w:p w:rsidR="003B3DAD" w:rsidRPr="004B6E54" w:rsidRDefault="003B3DAD" w:rsidP="003B3DAD">
      <w:pPr>
        <w:numPr>
          <w:ilvl w:val="0"/>
          <w:numId w:val="10"/>
        </w:numPr>
        <w:spacing w:after="120" w:line="240" w:lineRule="auto"/>
        <w:ind w:left="360"/>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 ekonomických a finančních kvalifikačních předpokladů podle § 55 ZVZ a</w:t>
      </w:r>
    </w:p>
    <w:p w:rsidR="003B3DAD" w:rsidRPr="004B6E54" w:rsidRDefault="003B3DAD" w:rsidP="003B3DAD">
      <w:pPr>
        <w:widowControl w:val="0"/>
        <w:numPr>
          <w:ilvl w:val="0"/>
          <w:numId w:val="10"/>
        </w:numPr>
        <w:spacing w:after="120" w:line="240" w:lineRule="auto"/>
        <w:ind w:left="360"/>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 technických kvalifikačních předpokladů podle § 56 ZVZ.</w:t>
      </w:r>
    </w:p>
    <w:p w:rsidR="003B3DAD" w:rsidRPr="004B6E54" w:rsidRDefault="003B3DAD" w:rsidP="003B3DAD">
      <w:pPr>
        <w:spacing w:after="120" w:line="240" w:lineRule="auto"/>
        <w:jc w:val="both"/>
        <w:rPr>
          <w:rFonts w:ascii="Arial" w:eastAsia="Times New Roman" w:hAnsi="Arial" w:cs="Arial"/>
          <w:color w:val="000000"/>
          <w:sz w:val="24"/>
          <w:szCs w:val="24"/>
          <w:lang w:eastAsia="cs-CZ"/>
        </w:rPr>
      </w:pPr>
      <w:r w:rsidRPr="004B6E54">
        <w:rPr>
          <w:rFonts w:ascii="Arial" w:eastAsia="Times New Roman" w:hAnsi="Arial" w:cs="Arial"/>
          <w:sz w:val="24"/>
          <w:szCs w:val="24"/>
          <w:lang w:eastAsia="cs-CZ"/>
        </w:rPr>
        <w:t xml:space="preserve">Dojde-li do doby rozhodnutí o výběru nejvhodnější nabídky k jakékoliv změně v </w:t>
      </w:r>
      <w:r w:rsidRPr="004B6E54">
        <w:rPr>
          <w:rFonts w:ascii="Arial" w:eastAsia="Times New Roman" w:hAnsi="Arial" w:cs="Arial"/>
          <w:iCs/>
          <w:sz w:val="24"/>
          <w:szCs w:val="24"/>
          <w:lang w:eastAsia="cs-CZ"/>
        </w:rPr>
        <w:t>kvalifikaci</w:t>
      </w:r>
      <w:r w:rsidRPr="004B6E54">
        <w:rPr>
          <w:rFonts w:ascii="Arial" w:eastAsia="Times New Roman" w:hAnsi="Arial" w:cs="Arial"/>
          <w:sz w:val="24"/>
          <w:szCs w:val="24"/>
          <w:lang w:eastAsia="cs-CZ"/>
        </w:rPr>
        <w:t xml:space="preserve"> dodavatele, která by jinak znamenala nesplnění kvalifikace podle § 60 ZVZ, je dodavatel povinen nejpozději do 7 dnů tuto</w:t>
      </w:r>
      <w:r w:rsidRPr="004B6E54">
        <w:rPr>
          <w:rFonts w:ascii="Arial" w:eastAsia="Times New Roman" w:hAnsi="Arial" w:cs="Arial"/>
          <w:color w:val="000000"/>
          <w:sz w:val="24"/>
          <w:szCs w:val="24"/>
          <w:lang w:eastAsia="cs-CZ"/>
        </w:rPr>
        <w:t xml:space="preserve"> skutečnost zadavateli písemně oznámit a současně předložit potřebné dokumenty prokazující splnění kvalifikace v plném rozsahu.</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Povinnost podle předchozího odstavce se vztahuje obdobně na uchazeče, se kterým je v souladu s rozhodnutím zadavatele možné uzavřít smlouvu, a to až do doby uzavření smlouvy. V takovém případě musí uchazeč, s nímž zadavatel uzavírá smlouvu, předložit potřebné dokumenty prokazující splnění kvalifikace v plném rozsahu nejpozději při uzavření smlouvy.</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lastRenderedPageBreak/>
        <w:t xml:space="preserve">Veškeré dokládané údaje týkající se dodavatele, se musejí vztahovat výhradně k osobě dodavatele se současným identifikačním číslem nebo k osobě, která byla právním předchůdcem uchazeče a jejíž veškeré závazky převzal uchazeč. </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bookmarkStart w:id="31" w:name="_Toc153442265"/>
      <w:r w:rsidRPr="004B6E54">
        <w:rPr>
          <w:rFonts w:ascii="Arial" w:eastAsia="Times New Roman" w:hAnsi="Arial" w:cs="Arial"/>
          <w:b/>
          <w:bCs/>
          <w:snapToGrid w:val="0"/>
          <w:sz w:val="24"/>
          <w:szCs w:val="24"/>
          <w:lang w:eastAsia="cs-CZ"/>
        </w:rPr>
        <w:t>Prokázání kvalifikace pomocí subdodavatele</w:t>
      </w:r>
      <w:bookmarkEnd w:id="31"/>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Pokud není dodavatel schopen prokázat splnění určité části kvalifikace požadované zadavatelem podle shora uvedených písmen b) až d) v plném rozsahu, je oprávněn splnění kvalifikace v chybějícím rozsahu prokázat prostřednictvím subdodavatele. Dodavatel je v takovém případě povinen zadavateli předložit 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Dodavatel není oprávněn prostřednictvím subdodavatele prokázat splnění kvalifikace podle shora uvedeného písmene a).</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Zadavatel stanoví, že podpisy smlouvy subdodavatelem a dodavatelem musí být úředně ověřeny. V opačném případě posoudí zadavatel takto předloženou smlouvu jako neplatnou s následkem vyloučení uchazeče ze zadávacího řízení.</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bookmarkStart w:id="32" w:name="_Toc153442266"/>
      <w:r w:rsidRPr="004B6E54">
        <w:rPr>
          <w:rFonts w:ascii="Arial" w:eastAsia="Times New Roman" w:hAnsi="Arial" w:cs="Arial"/>
          <w:b/>
          <w:bCs/>
          <w:snapToGrid w:val="0"/>
          <w:sz w:val="24"/>
          <w:szCs w:val="24"/>
          <w:lang w:eastAsia="cs-CZ"/>
        </w:rPr>
        <w:t>Prokázání kvalifikace pokud podává nabídku více osob společně</w:t>
      </w:r>
      <w:bookmarkEnd w:id="32"/>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 xml:space="preserve">Má-li být předmět veřejné zakázky plněn několika dodavateli společně a za tímto účelem podávají či hodlají podat společnou nabídku, je každý z dodavatelů povinen prokázat splnění základních kvalifikačních předpokladů a profesního kvalifikačního předpokladu v rozsahu předložení výpisu z obchodního rejstříku, pokud je v něm zapsán, či výpisu z jiné obdobné evidence, pokud je v ní zapsán, v plném rozsahu. Splnění kvalifikace podle výše uvedených písm. b) až d) musí prokázat všichni dodavatelé společně. </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 xml:space="preserve">V případě, že má být předmět veřejné zakázky plněn společně několika dodavateli, jsou veřejnému zadavateli povinni předložit současně s doklady prokazujícími splnění kvalifikačních předpokladů smlouvu, ve které je obsažen závazek, že všichni tito dodavatelé budou vůči veřejnému zadavateli a třetím osobám z jakýchkoliv právních vztahů vzniklých v souvislosti s veřejnou zakázkou zavázáni společně a nerozdílně, a to po celou dobu plnění veřejné zakázky i po dobu trvání jiných závazků vyplývajících z veřejné zakázky. Požadavek na závazek podle věty první, aby dodavatelé byli zavázáni společně a nerozdílně, platí, pokud zvláštní právní předpis nebo zadavatel nestanoví jinak. </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bookmarkStart w:id="33" w:name="_Toc153442267"/>
      <w:r w:rsidRPr="004B6E54">
        <w:rPr>
          <w:rFonts w:ascii="Arial" w:eastAsia="Times New Roman" w:hAnsi="Arial" w:cs="Arial"/>
          <w:b/>
          <w:bCs/>
          <w:snapToGrid w:val="0"/>
          <w:sz w:val="24"/>
          <w:szCs w:val="24"/>
          <w:lang w:eastAsia="cs-CZ"/>
        </w:rPr>
        <w:t>Prokazování kvalifikace v případě zahraničních osob</w:t>
      </w:r>
      <w:bookmarkEnd w:id="33"/>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 xml:space="preserve">Pokud nevyplývá ze zvláštního právního předpisu jinak, prokazuje zahraniční dodavatel splnění kvalifikace způsobem podle právního řádu platného v zemi jeho sídla, místa podnikání nebo bydliště, a to v rozsahu požadovaném tímto zákonem a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lastRenderedPageBreak/>
        <w:t>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bookmarkStart w:id="34" w:name="_Toc153442272"/>
      <w:r w:rsidRPr="004B6E54">
        <w:rPr>
          <w:rFonts w:ascii="Arial" w:eastAsia="Times New Roman" w:hAnsi="Arial" w:cs="Arial"/>
          <w:b/>
          <w:bCs/>
          <w:snapToGrid w:val="0"/>
          <w:sz w:val="24"/>
          <w:szCs w:val="24"/>
          <w:lang w:eastAsia="cs-CZ"/>
        </w:rPr>
        <w:t>Postup zadavatele při hodnocení kvalifikace</w:t>
      </w:r>
      <w:bookmarkEnd w:id="34"/>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 xml:space="preserve">Zadavatel resp. zadavatelem pověřená hodnotící či zvláštní komise posoudí prokázání splnění kvalifikace dodavatele z hlediska požadavků stanovených v souladu se ZVZ. </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Zadavatel může požadovat po dodavateli, aby písemně objasnil předložené informace či doklady nebo předložil další dodatečné informace či doklady prokazující splnění kvalifikace, s výjimkou případů, kdy splnění příslušné části kvalifikace nebylo dodavatelem prokázáno vůbec. Dodavatel je povinen splnit tuto povinnost v přiměřené lhůtě stanovené zadavatelem.</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Dodavatel, který nesplní kvalifikaci v požadovaném rozsahu nebo nesplní povinnost informovat zadavatele o změně své kvalifikace, musí být zadavatelem vyloučen z účasti v zadávacím řízení. Zadavatel bezodkladně písemně oznámí dodavateli své rozhodnutí o jeho vyloučení z účasti v zadávacím řízení s uvedením důvodu.</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bookmarkStart w:id="35" w:name="_Toc153442273"/>
      <w:r w:rsidRPr="004B6E54">
        <w:rPr>
          <w:rFonts w:ascii="Arial" w:eastAsia="Times New Roman" w:hAnsi="Arial" w:cs="Arial"/>
          <w:b/>
          <w:bCs/>
          <w:snapToGrid w:val="0"/>
          <w:sz w:val="24"/>
          <w:szCs w:val="24"/>
          <w:lang w:eastAsia="cs-CZ"/>
        </w:rPr>
        <w:t>Prokazování kvalifikace pomocí výpisu ze seznamu kvalifikovaných dodavatelů</w:t>
      </w:r>
      <w:bookmarkEnd w:id="35"/>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Dodavatel může při prokazování své kvalifikace předložit zadavateli výpis ze seznamu kvalifikovaných dodavatelů (§127 ZVZ), a to ve lhůtě pro prokázání splnění kvalifikace, přičemž tento výpis nahrazuje prokázání splnění:</w:t>
      </w:r>
    </w:p>
    <w:p w:rsidR="003B3DAD" w:rsidRPr="004B6E54" w:rsidRDefault="003B3DAD" w:rsidP="003B3DAD">
      <w:pPr>
        <w:numPr>
          <w:ilvl w:val="0"/>
          <w:numId w:val="11"/>
        </w:num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základních kvalifikačních předpokladů podle § 53 odst. 1 ZVZ a</w:t>
      </w:r>
    </w:p>
    <w:p w:rsidR="003B3DAD" w:rsidRPr="004B6E54" w:rsidRDefault="003B3DAD" w:rsidP="003B3DAD">
      <w:pPr>
        <w:numPr>
          <w:ilvl w:val="0"/>
          <w:numId w:val="11"/>
        </w:num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profesních kvalifikačních předpokladů podle § 54 ZVZ v tom rozsahu, v jakém doklady prokazující splnění těchto profesních kvalifikačních předpokladů pokrývají požadavky zadavatele na prokázání splnění profesních kvalifikačních předpokladů pro plnění veřejné zakázky.</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Zadavatel však vždy vedle výpisu, na základě svého práva vyhrazeného v oznámení, požaduje rovněž předložení dokladů prokazujících splnění kvalifikace podle § 53 odst. 1 písm. f) až h) ZVZ. Zadavatel přijme výpis ze seznamu, pokud k poslednímu dni, ke kterému má být prokázáno splnění kvalifikace, není výpis ze seznamu starší než 3 měsíce.</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bookmarkStart w:id="36" w:name="_Toc153442274"/>
      <w:r w:rsidRPr="004B6E54">
        <w:rPr>
          <w:rFonts w:ascii="Arial" w:eastAsia="Times New Roman" w:hAnsi="Arial" w:cs="Arial"/>
          <w:b/>
          <w:bCs/>
          <w:snapToGrid w:val="0"/>
          <w:sz w:val="24"/>
          <w:szCs w:val="24"/>
          <w:lang w:eastAsia="cs-CZ"/>
        </w:rPr>
        <w:t>Prokazování kvalifikace pomocí certifikátu vydaného v rámci  systému certifikovaných dodavatelů</w:t>
      </w:r>
      <w:bookmarkEnd w:id="36"/>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 xml:space="preserve">Dodavatel může při prokazování své kvalifikace předložit zadavateli certifikát vydaný v rámci systému certifikovaných dodavatelů, který obsahuje náležitosti stanovené v § 139 ZVZ, a to ve lhůtě pro prokázání splnění kvalifikace. Údaje v certifikátu musí být platné nejméně k poslednímu dni lhůty pro prokázání splnění kvalifikace (§ 52). </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t>Certifikát za shora uvedených podmínek prokazuje, v rozsahu v něm uvedených údajů, splnění kvalifikace dodavatelem. Zadavatel k této věci stanoví, že neuzná kvalifikaci za prokázanou, pokud z předloženého certifikátu nebude vyplývat jasný a úplný rozsah splnění kvalifikace stanovené zadavatelem.</w:t>
      </w:r>
    </w:p>
    <w:p w:rsidR="003B3DAD" w:rsidRPr="004B6E54" w:rsidRDefault="003B3DAD" w:rsidP="003B3DAD">
      <w:pPr>
        <w:spacing w:after="120" w:line="240" w:lineRule="auto"/>
        <w:jc w:val="both"/>
        <w:rPr>
          <w:rFonts w:ascii="Arial" w:eastAsia="Times New Roman" w:hAnsi="Arial" w:cs="Arial"/>
          <w:iCs/>
          <w:sz w:val="24"/>
          <w:szCs w:val="24"/>
          <w:lang w:eastAsia="cs-CZ"/>
        </w:rPr>
      </w:pPr>
      <w:r w:rsidRPr="004B6E54">
        <w:rPr>
          <w:rFonts w:ascii="Arial" w:eastAsia="Times New Roman" w:hAnsi="Arial" w:cs="Arial"/>
          <w:iCs/>
          <w:sz w:val="24"/>
          <w:szCs w:val="24"/>
          <w:lang w:eastAsia="cs-CZ"/>
        </w:rPr>
        <w:lastRenderedPageBreak/>
        <w:t>Zadavatel dále stanoví, že pokud z předloženého certifikátu nebude zcela vyplývat úplné splnění všech jednotlivých kvalifikačních předpokladů stanovených zadavatelem, uchazeč je povinen k certifikátu připojit další listiny, které jednoznačně prokazují, že předpokladem certifikace bylo právě splnění všech jednotlivých kvalifikačních předpokladů stanovených zadavatelem.</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bookmarkStart w:id="37" w:name="_Toc367545182"/>
      <w:bookmarkStart w:id="38" w:name="_Toc372344911"/>
      <w:bookmarkStart w:id="39" w:name="_Toc372948288"/>
      <w:bookmarkStart w:id="40" w:name="_Toc374193252"/>
      <w:bookmarkStart w:id="41" w:name="_Toc374330759"/>
      <w:bookmarkStart w:id="42" w:name="_Toc374331661"/>
      <w:bookmarkStart w:id="43" w:name="_Toc375639423"/>
      <w:bookmarkStart w:id="44" w:name="_Toc388320448"/>
      <w:bookmarkStart w:id="45" w:name="_Toc32627416"/>
      <w:bookmarkStart w:id="46" w:name="_Toc102272605"/>
      <w:r w:rsidRPr="004B6E54">
        <w:rPr>
          <w:rFonts w:ascii="Arial" w:eastAsia="Times New Roman" w:hAnsi="Arial" w:cs="Arial"/>
          <w:b/>
          <w:bCs/>
          <w:i/>
          <w:iCs/>
          <w:snapToGrid w:val="0"/>
          <w:sz w:val="24"/>
          <w:szCs w:val="24"/>
          <w:lang w:eastAsia="cs-CZ"/>
        </w:rPr>
        <w:t xml:space="preserve">Vymezení </w:t>
      </w:r>
      <w:bookmarkEnd w:id="37"/>
      <w:bookmarkEnd w:id="38"/>
      <w:bookmarkEnd w:id="39"/>
      <w:bookmarkEnd w:id="40"/>
      <w:bookmarkEnd w:id="41"/>
      <w:bookmarkEnd w:id="42"/>
      <w:bookmarkEnd w:id="43"/>
      <w:bookmarkEnd w:id="44"/>
      <w:bookmarkEnd w:id="45"/>
      <w:r w:rsidRPr="004B6E54">
        <w:rPr>
          <w:rFonts w:ascii="Arial" w:eastAsia="Times New Roman" w:hAnsi="Arial" w:cs="Arial"/>
          <w:b/>
          <w:bCs/>
          <w:i/>
          <w:iCs/>
          <w:snapToGrid w:val="0"/>
          <w:sz w:val="24"/>
          <w:szCs w:val="24"/>
          <w:lang w:eastAsia="cs-CZ"/>
        </w:rPr>
        <w:t>kvalifikace</w:t>
      </w:r>
      <w:bookmarkEnd w:id="46"/>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r w:rsidRPr="004B6E54">
        <w:rPr>
          <w:rFonts w:ascii="Arial" w:eastAsia="Times New Roman" w:hAnsi="Arial" w:cs="Arial"/>
          <w:sz w:val="24"/>
          <w:szCs w:val="24"/>
          <w:lang w:eastAsia="cs-CZ"/>
        </w:rPr>
        <w:t>Kvalifikaci splňuje uchazeč, který prokáže splnění kvalifikačních kritérií specifikovaných níže.</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r w:rsidRPr="004B6E54">
        <w:rPr>
          <w:rFonts w:ascii="Arial" w:eastAsia="Times New Roman" w:hAnsi="Arial" w:cs="Arial"/>
          <w:b/>
          <w:bCs/>
          <w:snapToGrid w:val="0"/>
          <w:sz w:val="24"/>
          <w:szCs w:val="24"/>
          <w:lang w:eastAsia="cs-CZ"/>
        </w:rPr>
        <w:t xml:space="preserve">Základní kvalifikační předpoklady </w:t>
      </w:r>
    </w:p>
    <w:p w:rsidR="003B3DAD" w:rsidRPr="004B6E54" w:rsidRDefault="003B3DAD" w:rsidP="003B3DAD">
      <w:pPr>
        <w:numPr>
          <w:ilvl w:val="0"/>
          <w:numId w:val="8"/>
        </w:numPr>
        <w:tabs>
          <w:tab w:val="left" w:pos="851"/>
        </w:tabs>
        <w:spacing w:before="120" w:after="120" w:line="240" w:lineRule="auto"/>
        <w:jc w:val="both"/>
        <w:outlineLvl w:val="6"/>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Základní kvalifikační předpoklady splňuje dodavatel, </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0"/>
          <w:lang w:eastAsia="cs-CZ"/>
        </w:rPr>
      </w:pPr>
      <w:r w:rsidRPr="004B6E54">
        <w:rPr>
          <w:rFonts w:ascii="Arial" w:eastAsia="Times New Roman" w:hAnsi="Arial" w:cs="Arial"/>
          <w:sz w:val="24"/>
          <w:szCs w:val="20"/>
          <w:lang w:eastAsia="cs-CZ"/>
        </w:rPr>
        <w:t xml:space="preserve">který nebyl pravomocně odsouzen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0"/>
          <w:lang w:eastAsia="cs-CZ"/>
        </w:rPr>
      </w:pPr>
      <w:r w:rsidRPr="004B6E54">
        <w:rPr>
          <w:rFonts w:ascii="Arial" w:eastAsia="Times New Roman" w:hAnsi="Arial" w:cs="Arial"/>
          <w:sz w:val="24"/>
          <w:szCs w:val="20"/>
          <w:lang w:eastAsia="cs-CZ"/>
        </w:rPr>
        <w:t>který nebyl pravomocně odsouzen pro trestný čin, jehož skutková podstata souvisí s předmětem podnikání dodavatele podle zvláštních právních předpisů nebo došlo k zahlazení odsouzení za spáchání takového trestného činu;</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0"/>
          <w:lang w:eastAsia="cs-CZ"/>
        </w:rPr>
      </w:pPr>
      <w:r w:rsidRPr="004B6E54">
        <w:rPr>
          <w:rFonts w:ascii="Arial" w:eastAsia="Times New Roman" w:hAnsi="Arial" w:cs="Arial"/>
          <w:sz w:val="24"/>
          <w:szCs w:val="20"/>
          <w:lang w:eastAsia="cs-CZ"/>
        </w:rPr>
        <w:t>který v posledních třech letech nenaplnil skutkovou podstatu jednání nekalé soutěže formou podplácení podle zvláštního právního předpisu</w:t>
      </w:r>
      <w:r w:rsidRPr="004B6E54">
        <w:rPr>
          <w:rFonts w:ascii="Arial" w:eastAsia="Times New Roman" w:hAnsi="Arial" w:cs="Arial"/>
          <w:sz w:val="24"/>
          <w:szCs w:val="20"/>
          <w:vertAlign w:val="superscript"/>
          <w:lang w:eastAsia="cs-CZ"/>
        </w:rPr>
        <w:footnoteReference w:id="1"/>
      </w:r>
      <w:r w:rsidRPr="004B6E54">
        <w:rPr>
          <w:rFonts w:ascii="Arial" w:eastAsia="Times New Roman" w:hAnsi="Arial" w:cs="Arial"/>
          <w:sz w:val="24"/>
          <w:szCs w:val="20"/>
          <w:vertAlign w:val="superscript"/>
          <w:lang w:eastAsia="cs-CZ"/>
        </w:rPr>
        <w:t>)</w:t>
      </w:r>
      <w:r w:rsidRPr="004B6E54">
        <w:rPr>
          <w:rFonts w:ascii="Arial" w:eastAsia="Times New Roman" w:hAnsi="Arial" w:cs="Arial"/>
          <w:sz w:val="24"/>
          <w:szCs w:val="20"/>
          <w:lang w:eastAsia="cs-CZ"/>
        </w:rPr>
        <w:t>,</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0"/>
          <w:lang w:eastAsia="cs-CZ"/>
        </w:rPr>
      </w:pPr>
      <w:r w:rsidRPr="004B6E54">
        <w:rPr>
          <w:rFonts w:ascii="Arial" w:eastAsia="Times New Roman" w:hAnsi="Arial" w:cs="Arial"/>
          <w:sz w:val="24"/>
          <w:szCs w:val="20"/>
          <w:lang w:eastAsia="cs-CZ"/>
        </w:rPr>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r w:rsidRPr="004B6E54">
        <w:rPr>
          <w:rFonts w:ascii="Arial" w:eastAsia="Times New Roman" w:hAnsi="Arial" w:cs="Arial"/>
          <w:sz w:val="24"/>
          <w:szCs w:val="20"/>
          <w:vertAlign w:val="superscript"/>
          <w:lang w:eastAsia="cs-CZ"/>
        </w:rPr>
        <w:footnoteReference w:id="2"/>
      </w:r>
      <w:r w:rsidRPr="004B6E54">
        <w:rPr>
          <w:rFonts w:ascii="Arial" w:eastAsia="Times New Roman" w:hAnsi="Arial" w:cs="Arial"/>
          <w:sz w:val="24"/>
          <w:szCs w:val="20"/>
          <w:vertAlign w:val="superscript"/>
          <w:lang w:eastAsia="cs-CZ"/>
        </w:rPr>
        <w:t>)</w:t>
      </w:r>
      <w:r w:rsidRPr="004B6E54">
        <w:rPr>
          <w:rFonts w:ascii="Arial" w:eastAsia="Times New Roman" w:hAnsi="Arial" w:cs="Arial"/>
          <w:sz w:val="24"/>
          <w:szCs w:val="20"/>
          <w:lang w:eastAsia="cs-CZ"/>
        </w:rPr>
        <w:t>,</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0"/>
          <w:lang w:eastAsia="cs-CZ"/>
        </w:rPr>
      </w:pPr>
      <w:r w:rsidRPr="004B6E54">
        <w:rPr>
          <w:rFonts w:ascii="Arial" w:eastAsia="Times New Roman" w:hAnsi="Arial" w:cs="Arial"/>
          <w:sz w:val="24"/>
          <w:szCs w:val="20"/>
          <w:lang w:eastAsia="cs-CZ"/>
        </w:rPr>
        <w:t>který není v likvidaci,</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0"/>
          <w:lang w:eastAsia="cs-CZ"/>
        </w:rPr>
      </w:pPr>
      <w:r w:rsidRPr="004B6E54">
        <w:rPr>
          <w:rFonts w:ascii="Arial" w:eastAsia="Times New Roman" w:hAnsi="Arial" w:cs="Arial"/>
          <w:sz w:val="24"/>
          <w:szCs w:val="20"/>
          <w:lang w:eastAsia="cs-CZ"/>
        </w:rPr>
        <w:t>který nemá v evidenci daní zachyceny daňové nedoplatky, a to jak v České republice, tak v zemi sídla, místa podnikání či bydliště dodavatele,</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0"/>
          <w:lang w:eastAsia="cs-CZ"/>
        </w:rPr>
      </w:pPr>
      <w:r w:rsidRPr="004B6E54">
        <w:rPr>
          <w:rFonts w:ascii="Arial" w:eastAsia="Times New Roman" w:hAnsi="Arial" w:cs="Arial"/>
          <w:sz w:val="24"/>
          <w:szCs w:val="20"/>
          <w:lang w:eastAsia="cs-CZ"/>
        </w:rPr>
        <w:t>který nemá nedoplatek na pojistném a na penále na veřejné zdravotní pojištění, a to jak v České republice, tak v zemi sídla, místa podnikání či bydliště dodavatele,</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0"/>
          <w:lang w:eastAsia="cs-CZ"/>
        </w:rPr>
      </w:pPr>
      <w:r w:rsidRPr="004B6E54">
        <w:rPr>
          <w:rFonts w:ascii="Arial" w:eastAsia="Times New Roman" w:hAnsi="Arial" w:cs="Arial"/>
          <w:sz w:val="24"/>
          <w:szCs w:val="20"/>
          <w:lang w:eastAsia="cs-CZ"/>
        </w:rPr>
        <w:t>který nemá nedoplatek na pojistném a na penále na sociální zabezpečení a příspěvku na státní politiku zaměstnanosti, a to jak v České republice, tak v zemi sídla, místa podnikání či bydliště dodavatele, a</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4"/>
          <w:lang w:eastAsia="cs-CZ"/>
        </w:rPr>
      </w:pPr>
      <w:r w:rsidRPr="004B6E54">
        <w:rPr>
          <w:rFonts w:ascii="Arial" w:eastAsia="Times New Roman" w:hAnsi="Arial" w:cs="Arial"/>
          <w:sz w:val="24"/>
          <w:szCs w:val="24"/>
          <w:lang w:eastAsia="cs-CZ"/>
        </w:rPr>
        <w:t>který nebyl v posledních 3 letech pravomocně disciplinárně potrestán či mu nebylo pravomocně uloženo kárné opatření podle zvláštních právních předpisů, je-li podle § 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4"/>
          <w:lang w:eastAsia="cs-CZ"/>
        </w:rPr>
      </w:pPr>
      <w:r w:rsidRPr="004B6E54">
        <w:rPr>
          <w:rFonts w:ascii="Arial" w:eastAsia="Times New Roman" w:hAnsi="Arial" w:cs="Arial"/>
          <w:sz w:val="24"/>
          <w:szCs w:val="24"/>
          <w:lang w:eastAsia="cs-CZ"/>
        </w:rPr>
        <w:t>který není veden v rejstříku osob se zákazem plnění veřejných zakázek,</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4"/>
          <w:lang w:eastAsia="cs-CZ"/>
        </w:rPr>
      </w:pPr>
      <w:r w:rsidRPr="004B6E54">
        <w:rPr>
          <w:rFonts w:ascii="Arial" w:eastAsia="Times New Roman" w:hAnsi="Arial" w:cs="Arial"/>
          <w:sz w:val="24"/>
          <w:szCs w:val="24"/>
          <w:lang w:eastAsia="cs-CZ"/>
        </w:rPr>
        <w:lastRenderedPageBreak/>
        <w:t>který předloží seznam statutárních orgánů nebo členů statutárních orgánů, kteří v posledních 3 letech pracovali u zadavatele a</w:t>
      </w:r>
    </w:p>
    <w:p w:rsidR="003B3DAD" w:rsidRPr="004B6E54" w:rsidRDefault="003B3DAD" w:rsidP="003B3DAD">
      <w:pPr>
        <w:numPr>
          <w:ilvl w:val="1"/>
          <w:numId w:val="8"/>
        </w:numPr>
        <w:spacing w:after="0" w:line="240" w:lineRule="auto"/>
        <w:jc w:val="both"/>
        <w:outlineLvl w:val="7"/>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který, má-li formu akciové společnosti, předloží aktuální seznam akcionářů s podílem akcií vyšším než 10 %. </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r w:rsidRPr="004B6E54">
        <w:rPr>
          <w:rFonts w:ascii="Arial" w:eastAsia="Times New Roman" w:hAnsi="Arial" w:cs="Arial"/>
          <w:b/>
          <w:bCs/>
          <w:snapToGrid w:val="0"/>
          <w:sz w:val="24"/>
          <w:szCs w:val="24"/>
          <w:lang w:eastAsia="cs-CZ"/>
        </w:rPr>
        <w:t>Prokázání splnění kvalifikace</w:t>
      </w:r>
    </w:p>
    <w:p w:rsidR="003B3DAD" w:rsidRPr="004B6E54" w:rsidRDefault="003B3DAD" w:rsidP="003B3DAD">
      <w:pPr>
        <w:widowControl w:val="0"/>
        <w:numPr>
          <w:ilvl w:val="0"/>
          <w:numId w:val="13"/>
        </w:num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Splnění základního kvalifikačního předpokladu dle odst. 4.1.1 bodu a) a b) této zadávací dokumentace prokazuje uchazeč </w:t>
      </w:r>
      <w:r w:rsidRPr="004B6E54">
        <w:rPr>
          <w:rFonts w:ascii="Arial" w:eastAsia="Times New Roman" w:hAnsi="Arial" w:cs="Arial"/>
          <w:iCs/>
          <w:sz w:val="24"/>
          <w:szCs w:val="24"/>
          <w:lang w:eastAsia="cs-CZ"/>
        </w:rPr>
        <w:t>výpisem z evidence Rejstříku trestů nebo jiným odpovídajícím dokladem ne starším než 90 dnů</w:t>
      </w:r>
      <w:r w:rsidRPr="004B6E54">
        <w:rPr>
          <w:rFonts w:ascii="Arial" w:eastAsia="Times New Roman" w:hAnsi="Arial" w:cs="Arial"/>
          <w:sz w:val="24"/>
          <w:szCs w:val="24"/>
          <w:lang w:eastAsia="cs-CZ"/>
        </w:rPr>
        <w:t>. Jde-li o právnickou osobu, musí tento předpoklad splňovat statutární orgán nebo každý člen statutárního orgánu a je-li statutárním orgánem uchazeče či členem statutárního orgánu uchazeče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uchazeč splňovat jak ve vztahu k území České republiky, tak k zemi svého sídla, místa podnikání či bydliště.</w:t>
      </w:r>
    </w:p>
    <w:p w:rsidR="003B3DAD" w:rsidRPr="004B6E54" w:rsidRDefault="003B3DAD" w:rsidP="003B3DAD">
      <w:pPr>
        <w:widowControl w:val="0"/>
        <w:numPr>
          <w:ilvl w:val="0"/>
          <w:numId w:val="13"/>
        </w:num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 základního kvalifikačního předpokladu dle odst. 4.1.1 bodu f) této zadávací dokumentace prokazuje uchazeč potvrzením příslušného finančního úřadu a ve vztahu ke spotřební dani předložením čestného prohlášení.</w:t>
      </w:r>
    </w:p>
    <w:p w:rsidR="003B3DAD" w:rsidRPr="004B6E54" w:rsidRDefault="003B3DAD" w:rsidP="003B3DAD">
      <w:pPr>
        <w:widowControl w:val="0"/>
        <w:numPr>
          <w:ilvl w:val="0"/>
          <w:numId w:val="13"/>
        </w:num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 základního kvalifikačního předpokladu dle odst. 4.1.1 bodu h) této zadávací dokumentace prokazuje uchazeč</w:t>
      </w:r>
      <w:r w:rsidRPr="004B6E54">
        <w:rPr>
          <w:rFonts w:ascii="Arial" w:eastAsia="Times New Roman" w:hAnsi="Arial" w:cs="Arial"/>
          <w:color w:val="FF0000"/>
          <w:sz w:val="24"/>
          <w:szCs w:val="24"/>
          <w:lang w:eastAsia="cs-CZ"/>
        </w:rPr>
        <w:t xml:space="preserve"> </w:t>
      </w:r>
      <w:r w:rsidRPr="004B6E54">
        <w:rPr>
          <w:rFonts w:ascii="Arial" w:eastAsia="Times New Roman" w:hAnsi="Arial" w:cs="Arial"/>
          <w:sz w:val="24"/>
          <w:szCs w:val="24"/>
          <w:lang w:eastAsia="cs-CZ"/>
        </w:rPr>
        <w:t>potvrzením příslušného orgánu či instituce.</w:t>
      </w:r>
    </w:p>
    <w:p w:rsidR="003B3DAD" w:rsidRPr="004B6E54" w:rsidRDefault="003B3DAD" w:rsidP="003B3DAD">
      <w:pPr>
        <w:widowControl w:val="0"/>
        <w:numPr>
          <w:ilvl w:val="0"/>
          <w:numId w:val="13"/>
        </w:num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 základního kvalifikačního předpokladu dle odst. 4.1.1 bodu c) až e) a g), i) až l) této zadávací dokumentace prokazuje uchazeč čestným prohlášením.</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bookmarkStart w:id="47" w:name="_Ref189894624"/>
      <w:r w:rsidRPr="004B6E54">
        <w:rPr>
          <w:rFonts w:ascii="Arial" w:eastAsia="Times New Roman" w:hAnsi="Arial" w:cs="Arial"/>
          <w:b/>
          <w:bCs/>
          <w:snapToGrid w:val="0"/>
          <w:sz w:val="24"/>
          <w:szCs w:val="24"/>
          <w:lang w:eastAsia="cs-CZ"/>
        </w:rPr>
        <w:t>Profesní kvalifikační předpoklady</w:t>
      </w:r>
      <w:bookmarkEnd w:id="47"/>
    </w:p>
    <w:p w:rsidR="003B3DAD" w:rsidRPr="004B6E54" w:rsidRDefault="003B3DAD" w:rsidP="003B3DAD">
      <w:p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Splnění profesních kvalifikačních předpokladů prokáže v souladu s § 54 zákona dodavatel, který předloží:</w:t>
      </w:r>
    </w:p>
    <w:p w:rsidR="003B3DAD" w:rsidRPr="004B6E54" w:rsidRDefault="003B3DAD" w:rsidP="003B3DAD">
      <w:pPr>
        <w:numPr>
          <w:ilvl w:val="0"/>
          <w:numId w:val="9"/>
        </w:num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výpis z obchodního rejstříku či z jiné obdobné evidence;</w:t>
      </w:r>
    </w:p>
    <w:p w:rsidR="003B3DAD" w:rsidRPr="004B6E54" w:rsidRDefault="003B3DAD" w:rsidP="003B3DAD">
      <w:pPr>
        <w:numPr>
          <w:ilvl w:val="0"/>
          <w:numId w:val="9"/>
        </w:num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doklad o oprávnění k podnikání k činnostem souvisejícím s předmětem tohoto zadávacího řízení.</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r w:rsidRPr="004B6E54">
        <w:rPr>
          <w:rFonts w:ascii="Arial" w:eastAsia="Times New Roman" w:hAnsi="Arial" w:cs="Arial"/>
          <w:b/>
          <w:bCs/>
          <w:snapToGrid w:val="0"/>
          <w:sz w:val="24"/>
          <w:szCs w:val="24"/>
          <w:lang w:eastAsia="cs-CZ"/>
        </w:rPr>
        <w:t>Ekonomické a finanční kvalifikační předpoklady</w:t>
      </w: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Zadavatel požaduje </w:t>
      </w:r>
      <w:bookmarkStart w:id="48" w:name="_Toc504369589"/>
      <w:r w:rsidRPr="004B6E54">
        <w:rPr>
          <w:rFonts w:ascii="Arial" w:eastAsia="Times New Roman" w:hAnsi="Arial" w:cs="Arial"/>
          <w:sz w:val="24"/>
          <w:szCs w:val="24"/>
          <w:lang w:eastAsia="cs-CZ"/>
        </w:rPr>
        <w:t>k prokázání splnění ekonomických a finančních kvalifikačních předpokladů dodavatele předložení níže uvedených dokladů prokazujících dále popsané skutečnosti:</w:t>
      </w:r>
    </w:p>
    <w:p w:rsidR="003B3DAD" w:rsidRPr="004B6E54" w:rsidRDefault="003B3DAD" w:rsidP="003B3DAD">
      <w:pPr>
        <w:keepNext/>
        <w:numPr>
          <w:ilvl w:val="3"/>
          <w:numId w:val="3"/>
        </w:numPr>
        <w:spacing w:before="240" w:after="60" w:line="240" w:lineRule="auto"/>
        <w:outlineLvl w:val="3"/>
        <w:rPr>
          <w:rFonts w:ascii="Arial" w:eastAsia="Times New Roman" w:hAnsi="Arial" w:cs="Arial"/>
          <w:bCs/>
          <w:sz w:val="24"/>
          <w:szCs w:val="24"/>
          <w:lang w:eastAsia="cs-CZ"/>
        </w:rPr>
      </w:pPr>
      <w:bookmarkStart w:id="49" w:name="_Toc153442276"/>
      <w:r w:rsidRPr="004B6E54">
        <w:rPr>
          <w:rFonts w:ascii="Arial" w:eastAsia="Times New Roman" w:hAnsi="Arial" w:cs="Arial"/>
          <w:bCs/>
          <w:sz w:val="24"/>
          <w:szCs w:val="24"/>
          <w:lang w:eastAsia="cs-CZ"/>
        </w:rPr>
        <w:t>Pojistná smlouva</w:t>
      </w:r>
      <w:bookmarkEnd w:id="49"/>
    </w:p>
    <w:bookmarkEnd w:id="48"/>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Uchazeč prokáže tento kvalifikační předpoklad předložením pojistné smlouvy, jejímž předmětem je pojištění odpovědnosti za škodu způsobenou dodavatelem třetí osobě. </w:t>
      </w: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Konkrétně pak zadavatel požaduje doklad o pojištění, za který zadavatel považuje výhradně pojistnou smlouvu, pojistku nebo potvrzení pojišťovny (resp. pojistného zprostředkovatele) o existenci pojištění odpovědnosti uchazeče za škody způsobené při výkonu jeho podnikatelské činnosti. Zadavatel přitom stanoví, že ke splnění </w:t>
      </w:r>
      <w:r w:rsidRPr="004B6E54">
        <w:rPr>
          <w:rFonts w:ascii="Arial" w:eastAsia="Times New Roman" w:hAnsi="Arial" w:cs="Arial"/>
          <w:sz w:val="24"/>
          <w:szCs w:val="24"/>
          <w:lang w:eastAsia="cs-CZ"/>
        </w:rPr>
        <w:lastRenderedPageBreak/>
        <w:t>zadávacích podmínek je nutné, aby pojistná částka předmět</w:t>
      </w:r>
      <w:r w:rsidR="0067576F" w:rsidRPr="004B6E54">
        <w:rPr>
          <w:rFonts w:ascii="Arial" w:eastAsia="Times New Roman" w:hAnsi="Arial" w:cs="Arial"/>
          <w:sz w:val="24"/>
          <w:szCs w:val="24"/>
          <w:lang w:eastAsia="cs-CZ"/>
        </w:rPr>
        <w:t>ného pojištění činila alespoň 1</w:t>
      </w:r>
      <w:r w:rsidRPr="004B6E54">
        <w:rPr>
          <w:rFonts w:ascii="Arial" w:eastAsia="Times New Roman" w:hAnsi="Arial" w:cs="Arial"/>
          <w:sz w:val="24"/>
          <w:szCs w:val="24"/>
          <w:lang w:eastAsia="cs-CZ"/>
        </w:rPr>
        <w:t xml:space="preserve"> mil. Kč.</w:t>
      </w:r>
    </w:p>
    <w:p w:rsidR="003B3DAD" w:rsidRPr="004B6E54" w:rsidRDefault="003B3DAD" w:rsidP="003B3DAD">
      <w:pPr>
        <w:keepNext/>
        <w:numPr>
          <w:ilvl w:val="3"/>
          <w:numId w:val="3"/>
        </w:numPr>
        <w:spacing w:before="240" w:after="60" w:line="240" w:lineRule="auto"/>
        <w:outlineLvl w:val="3"/>
        <w:rPr>
          <w:rFonts w:ascii="Arial" w:eastAsia="Times New Roman" w:hAnsi="Arial" w:cs="Arial"/>
          <w:bCs/>
          <w:sz w:val="24"/>
          <w:szCs w:val="24"/>
          <w:lang w:eastAsia="cs-CZ"/>
        </w:rPr>
      </w:pPr>
      <w:bookmarkStart w:id="50" w:name="_Toc153442278"/>
      <w:r w:rsidRPr="004B6E54">
        <w:rPr>
          <w:rFonts w:ascii="Arial" w:eastAsia="Times New Roman" w:hAnsi="Arial" w:cs="Arial"/>
          <w:bCs/>
          <w:sz w:val="24"/>
          <w:szCs w:val="24"/>
          <w:lang w:eastAsia="cs-CZ"/>
        </w:rPr>
        <w:t>Výkaz celkového obratu uchazeče</w:t>
      </w:r>
      <w:bookmarkEnd w:id="50"/>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Uchazeč prokáže tento kvalifikační předpoklad předložením údajů o celkovém obratu dodavatele zjištěném podle zvláštních právních předpisů a obratu dosaženém dodavatelem s ohledem na předmět veřejné zakázky, a to za poslední 3 účetní období. Jestliže dodavatel vznikl později nebo prokazatelně zahájil činnost vztahující se k předmětu veřejné zakázky později, postačí, předloží-li údaje o svém obratu za všechna účetní období od svého vzniku nebo od zahájení příslušné činnosti.</w:t>
      </w: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v této souvislosti dále stanoví, že ke splnění kvalifikace požaduje, aby v žádném ze sledovaných účetních období, neklesl celkový r</w:t>
      </w:r>
      <w:r w:rsidR="0067576F" w:rsidRPr="004B6E54">
        <w:rPr>
          <w:rFonts w:ascii="Arial" w:eastAsia="Times New Roman" w:hAnsi="Arial" w:cs="Arial"/>
          <w:sz w:val="24"/>
          <w:szCs w:val="24"/>
          <w:lang w:eastAsia="cs-CZ"/>
        </w:rPr>
        <w:t>oční obrat uchazeče pod limit 2</w:t>
      </w:r>
      <w:r w:rsidRPr="004B6E54">
        <w:rPr>
          <w:rFonts w:ascii="Arial" w:eastAsia="Times New Roman" w:hAnsi="Arial" w:cs="Arial"/>
          <w:sz w:val="24"/>
          <w:szCs w:val="24"/>
          <w:lang w:eastAsia="cs-CZ"/>
        </w:rPr>
        <w:t xml:space="preserve"> mil. Kč.</w:t>
      </w: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Jiné doklady o prokázání finanční a ekonomické způsobilosti zadavatel nepožaduje.</w:t>
      </w:r>
    </w:p>
    <w:p w:rsidR="003B3DAD" w:rsidRPr="004B6E54" w:rsidRDefault="003B3DAD" w:rsidP="003B3DAD">
      <w:pPr>
        <w:keepNext/>
        <w:numPr>
          <w:ilvl w:val="2"/>
          <w:numId w:val="3"/>
        </w:numPr>
        <w:spacing w:before="240" w:after="60" w:line="240" w:lineRule="auto"/>
        <w:outlineLvl w:val="2"/>
        <w:rPr>
          <w:rFonts w:ascii="Arial" w:eastAsia="Times New Roman" w:hAnsi="Arial" w:cs="Arial"/>
          <w:b/>
          <w:bCs/>
          <w:snapToGrid w:val="0"/>
          <w:sz w:val="24"/>
          <w:szCs w:val="24"/>
          <w:lang w:eastAsia="cs-CZ"/>
        </w:rPr>
      </w:pPr>
      <w:r w:rsidRPr="004B6E54">
        <w:rPr>
          <w:rFonts w:ascii="Arial" w:eastAsia="Times New Roman" w:hAnsi="Arial" w:cs="Arial"/>
          <w:b/>
          <w:bCs/>
          <w:snapToGrid w:val="0"/>
          <w:sz w:val="24"/>
          <w:szCs w:val="24"/>
          <w:lang w:eastAsia="cs-CZ"/>
        </w:rPr>
        <w:t>Technické kvalifikační předpoklady</w:t>
      </w: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požaduje k prokázání splnění technických kvalifikačních předpokladů dodavatele předložení níže uvedených dokladů prokazujících dále popsané skutečnosti:</w:t>
      </w:r>
    </w:p>
    <w:p w:rsidR="003B3DAD" w:rsidRPr="004B6E54" w:rsidRDefault="003B3DAD" w:rsidP="003B3DAD">
      <w:pPr>
        <w:keepNext/>
        <w:numPr>
          <w:ilvl w:val="3"/>
          <w:numId w:val="3"/>
        </w:numPr>
        <w:spacing w:before="240" w:after="60" w:line="240" w:lineRule="auto"/>
        <w:outlineLvl w:val="3"/>
        <w:rPr>
          <w:rFonts w:ascii="Arial" w:eastAsia="Times New Roman" w:hAnsi="Arial" w:cs="Arial"/>
          <w:bCs/>
          <w:sz w:val="24"/>
          <w:szCs w:val="24"/>
          <w:lang w:eastAsia="cs-CZ"/>
        </w:rPr>
      </w:pPr>
      <w:bookmarkStart w:id="51" w:name="_Toc71686431"/>
      <w:bookmarkStart w:id="52" w:name="_Toc72470181"/>
      <w:bookmarkStart w:id="53" w:name="_Toc153442280"/>
      <w:r w:rsidRPr="004B6E54">
        <w:rPr>
          <w:rFonts w:ascii="Arial" w:eastAsia="Times New Roman" w:hAnsi="Arial" w:cs="Arial"/>
          <w:bCs/>
          <w:sz w:val="24"/>
          <w:szCs w:val="24"/>
          <w:lang w:eastAsia="cs-CZ"/>
        </w:rPr>
        <w:t xml:space="preserve">Seznam </w:t>
      </w:r>
      <w:bookmarkEnd w:id="51"/>
      <w:bookmarkEnd w:id="52"/>
      <w:r w:rsidRPr="004B6E54">
        <w:rPr>
          <w:rFonts w:ascii="Arial" w:eastAsia="Times New Roman" w:hAnsi="Arial" w:cs="Arial"/>
          <w:bCs/>
          <w:sz w:val="24"/>
          <w:szCs w:val="24"/>
          <w:lang w:eastAsia="cs-CZ"/>
        </w:rPr>
        <w:t>významných služeb</w:t>
      </w:r>
      <w:bookmarkEnd w:id="53"/>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Dodavatel prokáže tento kvalifikační předpoklad předložením seznamu významných pojišťovacích služeb poskytnutých dodavatelem oblasti pojištění motorových vozidel (zákonného a havarijního pojištění motorových vozidel) v posledních 3 letech s uvedením jejich rozsahu a doby poskytnutí; přílohou tohoto seznamu musí být:</w:t>
      </w:r>
    </w:p>
    <w:p w:rsidR="003B3DAD" w:rsidRPr="004B6E54" w:rsidRDefault="003B3DAD" w:rsidP="003B3DAD">
      <w:pPr>
        <w:spacing w:after="120" w:line="240" w:lineRule="auto"/>
        <w:rPr>
          <w:rFonts w:ascii="Arial" w:eastAsia="Times New Roman" w:hAnsi="Arial" w:cs="Arial"/>
          <w:color w:val="000000"/>
          <w:szCs w:val="24"/>
          <w:lang w:eastAsia="cs-CZ"/>
        </w:rPr>
      </w:pPr>
    </w:p>
    <w:p w:rsidR="003B3DAD" w:rsidRPr="004B6E54" w:rsidRDefault="003B3DAD" w:rsidP="003B3DAD">
      <w:pPr>
        <w:widowControl w:val="0"/>
        <w:numPr>
          <w:ilvl w:val="0"/>
          <w:numId w:val="12"/>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osvědčení vydané veřejným zadavatelem, pokud byly dodávky poskytovány veřejnému zadavateli, nebo</w:t>
      </w:r>
    </w:p>
    <w:p w:rsidR="003B3DAD" w:rsidRPr="004B6E54" w:rsidRDefault="003B3DAD" w:rsidP="003B3DAD">
      <w:pPr>
        <w:widowControl w:val="0"/>
        <w:numPr>
          <w:ilvl w:val="0"/>
          <w:numId w:val="12"/>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osvědčení vydané jinou osobou, pokud byly dodávky poskytovány jiné osobě než veřejnému zadavateli, nebo</w:t>
      </w:r>
    </w:p>
    <w:p w:rsidR="003B3DAD" w:rsidRPr="004B6E54" w:rsidRDefault="003B3DAD" w:rsidP="003B3DAD">
      <w:pPr>
        <w:widowControl w:val="0"/>
        <w:numPr>
          <w:ilvl w:val="0"/>
          <w:numId w:val="12"/>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čestné prohlášení dodavatele, pokud byly dodávky poskytovány jiné osobě než veřejnému zadavateli a není-li současně možné osvědčení podle bodu 2 od této osoby získat z důvodů spočívajících na její straně.</w:t>
      </w:r>
    </w:p>
    <w:p w:rsidR="003B3DAD" w:rsidRPr="004B6E54" w:rsidRDefault="003B3DAD" w:rsidP="003B3DAD">
      <w:pPr>
        <w:spacing w:after="120" w:line="240" w:lineRule="auto"/>
        <w:rPr>
          <w:rFonts w:ascii="Arial" w:eastAsia="Times New Roman" w:hAnsi="Arial" w:cs="Arial"/>
          <w:color w:val="000000"/>
          <w:szCs w:val="24"/>
          <w:lang w:eastAsia="cs-CZ"/>
        </w:rPr>
      </w:pP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 poskytnutí významné služby zadavatel považuje poskytnutí  minimálně 3 pojišťovacích služ</w:t>
      </w:r>
      <w:r w:rsidR="0067576F" w:rsidRPr="004B6E54">
        <w:rPr>
          <w:rFonts w:ascii="Arial" w:eastAsia="Times New Roman" w:hAnsi="Arial" w:cs="Arial"/>
          <w:sz w:val="24"/>
          <w:szCs w:val="24"/>
          <w:lang w:eastAsia="cs-CZ"/>
        </w:rPr>
        <w:t>eb v objemu min. 1</w:t>
      </w:r>
      <w:r w:rsidRPr="004B6E54">
        <w:rPr>
          <w:rFonts w:ascii="Arial" w:eastAsia="Times New Roman" w:hAnsi="Arial" w:cs="Arial"/>
          <w:sz w:val="24"/>
          <w:szCs w:val="24"/>
          <w:lang w:eastAsia="cs-CZ"/>
        </w:rPr>
        <w:t xml:space="preserve"> mil. Kč za každou jednotlivou pojišťovací službu.</w:t>
      </w: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Seznam je dodavatel povinen předložit ve formě čestného prohlášení, kde strukturovaně (v podobě tabulky) uvede následující údaje:</w:t>
      </w:r>
    </w:p>
    <w:p w:rsidR="003B3DAD" w:rsidRPr="004B6E54" w:rsidRDefault="003B3DAD" w:rsidP="003B3DAD">
      <w:pPr>
        <w:widowControl w:val="0"/>
        <w:numPr>
          <w:ilvl w:val="0"/>
          <w:numId w:val="16"/>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název objednatele,</w:t>
      </w:r>
    </w:p>
    <w:p w:rsidR="003B3DAD" w:rsidRPr="004B6E54" w:rsidRDefault="003B3DAD" w:rsidP="003B3DAD">
      <w:pPr>
        <w:widowControl w:val="0"/>
        <w:numPr>
          <w:ilvl w:val="0"/>
          <w:numId w:val="16"/>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název významné služby,</w:t>
      </w:r>
    </w:p>
    <w:p w:rsidR="003B3DAD" w:rsidRPr="004B6E54" w:rsidRDefault="003B3DAD" w:rsidP="003B3DAD">
      <w:pPr>
        <w:widowControl w:val="0"/>
        <w:numPr>
          <w:ilvl w:val="0"/>
          <w:numId w:val="16"/>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údaje o výměrách poskytovaných služeb;</w:t>
      </w:r>
    </w:p>
    <w:p w:rsidR="003B3DAD" w:rsidRPr="004B6E54" w:rsidRDefault="003B3DAD" w:rsidP="003B3DAD">
      <w:pPr>
        <w:widowControl w:val="0"/>
        <w:numPr>
          <w:ilvl w:val="0"/>
          <w:numId w:val="16"/>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termín plnění;</w:t>
      </w:r>
    </w:p>
    <w:p w:rsidR="003B3DAD" w:rsidRPr="004B6E54" w:rsidRDefault="003B3DAD" w:rsidP="003B3DAD">
      <w:pPr>
        <w:widowControl w:val="0"/>
        <w:numPr>
          <w:ilvl w:val="0"/>
          <w:numId w:val="16"/>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údaj o tom, zda je přiloženo osvědčení objednatele o řádném poskytnutí </w:t>
      </w:r>
      <w:r w:rsidRPr="004B6E54">
        <w:rPr>
          <w:rFonts w:ascii="Arial" w:eastAsia="Times New Roman" w:hAnsi="Arial" w:cs="Arial"/>
          <w:sz w:val="24"/>
          <w:szCs w:val="24"/>
          <w:lang w:eastAsia="cs-CZ"/>
        </w:rPr>
        <w:lastRenderedPageBreak/>
        <w:t>služby;</w:t>
      </w:r>
    </w:p>
    <w:p w:rsidR="003B3DAD" w:rsidRPr="004B6E54" w:rsidRDefault="003B3DAD" w:rsidP="003B3DAD">
      <w:pPr>
        <w:widowControl w:val="0"/>
        <w:numPr>
          <w:ilvl w:val="0"/>
          <w:numId w:val="16"/>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údaj o tom, zda je přiloženo prohlášení dodavatele o poskytnutí služby a důvod nepředložení osvědčení objednatele.</w:t>
      </w: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Jiné doklady o prokázání technické způsobilosti zadavatel nepožaduje.</w:t>
      </w: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widowControl w:val="0"/>
        <w:numPr>
          <w:ilvl w:val="2"/>
          <w:numId w:val="3"/>
        </w:numPr>
        <w:spacing w:before="120" w:after="0" w:line="240" w:lineRule="auto"/>
        <w:outlineLvl w:val="2"/>
        <w:rPr>
          <w:rFonts w:ascii="Arial" w:eastAsia="Times New Roman" w:hAnsi="Arial" w:cs="Arial"/>
          <w:bCs/>
          <w:sz w:val="24"/>
          <w:szCs w:val="24"/>
          <w:u w:val="single"/>
          <w:lang w:eastAsia="cs-CZ"/>
        </w:rPr>
      </w:pPr>
      <w:r w:rsidRPr="004B6E54">
        <w:rPr>
          <w:rFonts w:ascii="Arial" w:eastAsia="Times New Roman" w:hAnsi="Arial" w:cs="Arial"/>
          <w:sz w:val="24"/>
          <w:szCs w:val="24"/>
          <w:u w:val="single"/>
          <w:lang w:eastAsia="cs-CZ"/>
        </w:rPr>
        <w:t>Výpis</w:t>
      </w:r>
      <w:r w:rsidRPr="004B6E54">
        <w:rPr>
          <w:rFonts w:ascii="Arial" w:eastAsia="Times New Roman" w:hAnsi="Arial" w:cs="Arial"/>
          <w:bCs/>
          <w:sz w:val="24"/>
          <w:szCs w:val="24"/>
          <w:u w:val="single"/>
          <w:lang w:eastAsia="cs-CZ"/>
        </w:rPr>
        <w:t xml:space="preserve"> ze seznamu kvalifikovaných dodavatelů</w:t>
      </w:r>
    </w:p>
    <w:p w:rsidR="003B3DAD" w:rsidRPr="004B6E54" w:rsidRDefault="003B3DAD" w:rsidP="003B3DAD">
      <w:p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Dodavatelé zapsaní v seznamu kvalifikovaných dodavatelů (§ </w:t>
      </w:r>
      <w:smartTag w:uri="urn:schemas-microsoft-com:office:smarttags" w:element="metricconverter">
        <w:smartTagPr>
          <w:attr w:name="ProductID" w:val="125 a"/>
        </w:smartTagPr>
        <w:r w:rsidRPr="004B6E54">
          <w:rPr>
            <w:rFonts w:ascii="Arial" w:eastAsia="Times New Roman" w:hAnsi="Arial" w:cs="Arial"/>
            <w:sz w:val="24"/>
            <w:szCs w:val="24"/>
            <w:lang w:eastAsia="cs-CZ"/>
          </w:rPr>
          <w:t>125 a</w:t>
        </w:r>
      </w:smartTag>
      <w:r w:rsidRPr="004B6E54">
        <w:rPr>
          <w:rFonts w:ascii="Arial" w:eastAsia="Times New Roman" w:hAnsi="Arial" w:cs="Arial"/>
          <w:sz w:val="24"/>
          <w:szCs w:val="24"/>
          <w:lang w:eastAsia="cs-CZ"/>
        </w:rPr>
        <w:t xml:space="preserve"> násl. ZVZ) mohou prokázat splnění kvalifikace dle § 53 odst. 1 zákona a profesních kvalifikačních předpokladů podle § 54 ZVZ.  písm. a) a c) zákona, výpisem ze seznamu kvalifikovaným dodavatelů ne starším než 3 měsíce.</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bookmarkStart w:id="54" w:name="_Toc102272607"/>
      <w:r w:rsidRPr="004B6E54">
        <w:rPr>
          <w:rFonts w:ascii="Arial" w:eastAsia="Times New Roman" w:hAnsi="Arial" w:cs="Arial"/>
          <w:b/>
          <w:bCs/>
          <w:i/>
          <w:iCs/>
          <w:snapToGrid w:val="0"/>
          <w:sz w:val="24"/>
          <w:szCs w:val="24"/>
          <w:lang w:eastAsia="cs-CZ"/>
        </w:rPr>
        <w:t>Forma splnění kvalifikace</w:t>
      </w:r>
      <w:bookmarkEnd w:id="54"/>
    </w:p>
    <w:p w:rsidR="003B3DAD" w:rsidRPr="004B6E54" w:rsidRDefault="003B3DAD" w:rsidP="003B3DAD">
      <w:pPr>
        <w:widowControl w:val="0"/>
        <w:numPr>
          <w:ilvl w:val="2"/>
          <w:numId w:val="3"/>
        </w:numPr>
        <w:spacing w:before="240" w:after="240" w:line="240" w:lineRule="auto"/>
        <w:jc w:val="both"/>
        <w:outlineLvl w:val="2"/>
        <w:rPr>
          <w:rFonts w:ascii="Arial" w:eastAsia="Times New Roman" w:hAnsi="Arial" w:cs="Arial"/>
          <w:bCs/>
          <w:sz w:val="24"/>
          <w:szCs w:val="24"/>
          <w:lang w:eastAsia="cs-CZ"/>
        </w:rPr>
      </w:pPr>
      <w:r w:rsidRPr="004B6E54">
        <w:rPr>
          <w:rFonts w:ascii="Arial" w:eastAsia="Times New Roman" w:hAnsi="Arial" w:cs="Arial"/>
          <w:bCs/>
          <w:sz w:val="24"/>
          <w:szCs w:val="24"/>
          <w:lang w:eastAsia="cs-CZ"/>
        </w:rPr>
        <w:t>Veškeré doklady požadované k prokázání splnění kvalifikace musejí být, v souladu s § 57 odst. 1 ZVZ předloženy v originálu nebo v úředně ověřené kopii. Je-li zadavatelem vyžadováno čestné prohlášení, musí být podepsáno statutárním orgánem dodavatele, v případě podpisu jinou osobou musí být originál nebo úředně ověřená kopie zmocnění této osoby součástí dokladů, kterými uchazeč prokazuje splnění kvalifikace. Nesplnění těchto podmínek posoudí zadavatel jako nesplnění kvalifikace s následkem vyloučení dodavatele ze zadávacího řízení.</w:t>
      </w:r>
    </w:p>
    <w:p w:rsidR="003B3DAD" w:rsidRPr="004B6E54" w:rsidRDefault="003B3DAD" w:rsidP="003B3DAD">
      <w:pPr>
        <w:widowControl w:val="0"/>
        <w:numPr>
          <w:ilvl w:val="2"/>
          <w:numId w:val="3"/>
        </w:numPr>
        <w:spacing w:before="240" w:after="240" w:line="240" w:lineRule="auto"/>
        <w:jc w:val="both"/>
        <w:outlineLvl w:val="2"/>
        <w:rPr>
          <w:rFonts w:ascii="Arial" w:eastAsia="Times New Roman" w:hAnsi="Arial" w:cs="Arial"/>
          <w:bCs/>
          <w:sz w:val="24"/>
          <w:szCs w:val="24"/>
          <w:lang w:eastAsia="cs-CZ"/>
        </w:rPr>
      </w:pPr>
      <w:r w:rsidRPr="004B6E54">
        <w:rPr>
          <w:rFonts w:ascii="Arial" w:eastAsia="Times New Roman" w:hAnsi="Arial" w:cs="Arial"/>
          <w:bCs/>
          <w:sz w:val="24"/>
          <w:szCs w:val="24"/>
          <w:lang w:eastAsia="cs-CZ"/>
        </w:rPr>
        <w:t>Požadované originální dokumenty (nebo jejich ověřené kopie), pokud zákon nebo zadávací dokumentace nestanoví jinak, nesmějí být starší než 90 dnů předcházejících poslednímu dni lhůty pro podání nabídek.</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bookmarkStart w:id="55" w:name="_Toc374330762"/>
      <w:bookmarkStart w:id="56" w:name="_Toc374331664"/>
      <w:bookmarkStart w:id="57" w:name="_Toc375639426"/>
      <w:bookmarkStart w:id="58" w:name="_Toc388320451"/>
      <w:bookmarkStart w:id="59" w:name="_Toc32627419"/>
      <w:bookmarkStart w:id="60" w:name="_Toc102272608"/>
      <w:r w:rsidRPr="004B6E54">
        <w:rPr>
          <w:rFonts w:ascii="Arial" w:eastAsia="Times New Roman" w:hAnsi="Arial" w:cs="Arial"/>
          <w:b/>
          <w:bCs/>
          <w:i/>
          <w:iCs/>
          <w:snapToGrid w:val="0"/>
          <w:sz w:val="24"/>
          <w:szCs w:val="24"/>
          <w:lang w:eastAsia="cs-CZ"/>
        </w:rPr>
        <w:t>Důsledek nesplnění kvalifik</w:t>
      </w:r>
      <w:bookmarkEnd w:id="55"/>
      <w:bookmarkEnd w:id="56"/>
      <w:bookmarkEnd w:id="57"/>
      <w:bookmarkEnd w:id="58"/>
      <w:bookmarkEnd w:id="59"/>
      <w:r w:rsidRPr="004B6E54">
        <w:rPr>
          <w:rFonts w:ascii="Arial" w:eastAsia="Times New Roman" w:hAnsi="Arial" w:cs="Arial"/>
          <w:b/>
          <w:bCs/>
          <w:i/>
          <w:iCs/>
          <w:snapToGrid w:val="0"/>
          <w:sz w:val="24"/>
          <w:szCs w:val="24"/>
          <w:lang w:eastAsia="cs-CZ"/>
        </w:rPr>
        <w:t>ace</w:t>
      </w:r>
      <w:bookmarkEnd w:id="60"/>
    </w:p>
    <w:p w:rsidR="003B3DAD" w:rsidRPr="004B6E54" w:rsidRDefault="003B3DAD" w:rsidP="003B3DAD">
      <w:pPr>
        <w:spacing w:before="120" w:after="0" w:line="240" w:lineRule="auto"/>
        <w:ind w:left="57"/>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Nesplní-li uchazeč kvalifikaci v plném rozsahu, bude podle § 60 ZVZ vyloučen z otevřeného řízení. Zadavatel bezodkladně písemně oznámí uchazeči vyloučení z otevřeného řízení.</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bookmarkStart w:id="61" w:name="_Toc382122159"/>
      <w:bookmarkStart w:id="62" w:name="_Toc401029264"/>
      <w:bookmarkStart w:id="63" w:name="_Ref402154772"/>
      <w:bookmarkStart w:id="64" w:name="_Toc102272386"/>
      <w:bookmarkStart w:id="65" w:name="_Toc102272609"/>
      <w:r w:rsidRPr="004B6E54">
        <w:rPr>
          <w:rFonts w:ascii="Arial" w:eastAsia="Times New Roman" w:hAnsi="Arial" w:cs="Arial"/>
          <w:b/>
          <w:bCs/>
          <w:kern w:val="32"/>
          <w:sz w:val="24"/>
          <w:szCs w:val="24"/>
          <w:lang w:eastAsia="cs-CZ"/>
        </w:rPr>
        <w:t>Způsob zpracování nabídkové cen</w:t>
      </w:r>
      <w:bookmarkEnd w:id="61"/>
      <w:bookmarkEnd w:id="62"/>
      <w:bookmarkEnd w:id="63"/>
      <w:r w:rsidRPr="004B6E54">
        <w:rPr>
          <w:rFonts w:ascii="Arial" w:eastAsia="Times New Roman" w:hAnsi="Arial" w:cs="Arial"/>
          <w:b/>
          <w:bCs/>
          <w:kern w:val="32"/>
          <w:sz w:val="24"/>
          <w:szCs w:val="24"/>
          <w:lang w:eastAsia="cs-CZ"/>
        </w:rPr>
        <w:t>y</w:t>
      </w:r>
      <w:bookmarkEnd w:id="64"/>
      <w:bookmarkEnd w:id="65"/>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bookmarkStart w:id="66" w:name="_Toc102272610"/>
      <w:r w:rsidRPr="004B6E54">
        <w:rPr>
          <w:rFonts w:ascii="Arial" w:eastAsia="Times New Roman" w:hAnsi="Arial" w:cs="Arial"/>
          <w:b/>
          <w:bCs/>
          <w:i/>
          <w:iCs/>
          <w:snapToGrid w:val="0"/>
          <w:sz w:val="24"/>
          <w:szCs w:val="24"/>
          <w:lang w:eastAsia="cs-CZ"/>
        </w:rPr>
        <w:t>Základní požadavky zadavatele</w:t>
      </w:r>
      <w:bookmarkEnd w:id="66"/>
      <w:r w:rsidRPr="004B6E54">
        <w:rPr>
          <w:rFonts w:ascii="Arial" w:eastAsia="Times New Roman" w:hAnsi="Arial" w:cs="Arial"/>
          <w:b/>
          <w:bCs/>
          <w:i/>
          <w:iCs/>
          <w:snapToGrid w:val="0"/>
          <w:sz w:val="24"/>
          <w:szCs w:val="24"/>
          <w:lang w:eastAsia="cs-CZ"/>
        </w:rPr>
        <w:t xml:space="preserve"> </w:t>
      </w:r>
    </w:p>
    <w:p w:rsidR="003B3DAD" w:rsidRPr="004B6E54" w:rsidRDefault="003B3DAD" w:rsidP="003B3DAD">
      <w:p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Uchazeč zpracuje nabídkovou cenu jako cenu dodání vzorového koše zboží.</w:t>
      </w:r>
    </w:p>
    <w:p w:rsidR="003B3DAD" w:rsidRPr="004B6E54" w:rsidRDefault="003B3DAD" w:rsidP="003B3DAD">
      <w:p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Zároveň uchazeč předloží svůj ceník všeho dodávaného zboží. V ceníku bude uvedena běžná cena pro koncové zákazníky příp. cena pro zadavatele. Ceny uvedené v nabídce jako ocenění vzorového koše musí odpovídat cenám uvedeným v ceníku. V případě odlišností, nepřesností nebo chyb či omylů bude takový rozdíl považován zadavatelem za chybu v psaní a hodnocena bude nižší nabídková cena. Takto</w:t>
      </w:r>
      <w:r w:rsidRPr="004B6E54">
        <w:rPr>
          <w:rFonts w:ascii="Arial" w:eastAsia="Times New Roman" w:hAnsi="Arial" w:cs="Arial"/>
          <w:color w:val="FF0000"/>
          <w:sz w:val="24"/>
          <w:szCs w:val="24"/>
          <w:lang w:eastAsia="cs-CZ"/>
        </w:rPr>
        <w:t xml:space="preserve"> </w:t>
      </w:r>
      <w:r w:rsidRPr="004B6E54">
        <w:rPr>
          <w:rFonts w:ascii="Arial" w:eastAsia="Times New Roman" w:hAnsi="Arial" w:cs="Arial"/>
          <w:sz w:val="24"/>
          <w:szCs w:val="24"/>
          <w:lang w:eastAsia="cs-CZ"/>
        </w:rPr>
        <w:t>hodnocené ceny budou součástí uzavřené smlouvy. Po dobu účinnosti smlouvy budou jednotlivé dílčí objednávky realizovány za podmínek tohoto ceníku.</w:t>
      </w: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Nabídková cena bude v nabídce, a to u všech jejích částí, uvedena v korunách českých ve struktuře: </w:t>
      </w: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widowControl w:val="0"/>
        <w:numPr>
          <w:ilvl w:val="0"/>
          <w:numId w:val="5"/>
        </w:num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cena bez DPH, </w:t>
      </w:r>
    </w:p>
    <w:p w:rsidR="003B3DAD" w:rsidRPr="004B6E54" w:rsidRDefault="003B3DAD" w:rsidP="003B3DAD">
      <w:pPr>
        <w:widowControl w:val="0"/>
        <w:numPr>
          <w:ilvl w:val="0"/>
          <w:numId w:val="5"/>
        </w:num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sazba DPH v %, </w:t>
      </w:r>
    </w:p>
    <w:p w:rsidR="003B3DAD" w:rsidRPr="004B6E54" w:rsidRDefault="003B3DAD" w:rsidP="003B3DAD">
      <w:pPr>
        <w:widowControl w:val="0"/>
        <w:numPr>
          <w:ilvl w:val="0"/>
          <w:numId w:val="5"/>
        </w:num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výše DPH v Kč, </w:t>
      </w:r>
    </w:p>
    <w:p w:rsidR="003B3DAD" w:rsidRPr="004B6E54" w:rsidRDefault="003B3DAD" w:rsidP="003B3DAD">
      <w:pPr>
        <w:widowControl w:val="0"/>
        <w:numPr>
          <w:ilvl w:val="0"/>
          <w:numId w:val="5"/>
        </w:num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cena s DPH.</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bookmarkStart w:id="67" w:name="_Toc90279213"/>
      <w:bookmarkStart w:id="68" w:name="_Toc150252110"/>
      <w:bookmarkStart w:id="69" w:name="_Ref163275395"/>
      <w:r w:rsidRPr="004B6E54">
        <w:rPr>
          <w:rFonts w:ascii="Arial" w:eastAsia="Times New Roman" w:hAnsi="Arial" w:cs="Arial"/>
          <w:b/>
          <w:bCs/>
          <w:i/>
          <w:iCs/>
          <w:snapToGrid w:val="0"/>
          <w:sz w:val="24"/>
          <w:szCs w:val="24"/>
          <w:lang w:eastAsia="cs-CZ"/>
        </w:rPr>
        <w:t>Podmínky pro překročení nabídkové ceny</w:t>
      </w:r>
      <w:bookmarkEnd w:id="67"/>
      <w:bookmarkEnd w:id="68"/>
      <w:bookmarkEnd w:id="69"/>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r w:rsidRPr="004B6E54">
        <w:rPr>
          <w:rFonts w:ascii="Arial" w:eastAsia="Times New Roman" w:hAnsi="Arial" w:cs="Arial"/>
          <w:bCs/>
          <w:snapToGrid w:val="0"/>
          <w:sz w:val="24"/>
          <w:szCs w:val="24"/>
          <w:lang w:eastAsia="cs-CZ"/>
        </w:rPr>
        <w:t>změna daňových předpisů - Nabídkovou cenu je možno po dobu trvání smlouvy na plnění veřejné zakázky překročit v případě, že dojde ke změnám daňových právních předpisů, které budou mít prokazatelný vliv na výši nabídkové ceny, a to zejména v případě zvýšení sazby DPH. V případě, že dojde ke snížení sazby DPH, bude cena za plnění veřejné zakázky snížena oproti nabídkové ceně.</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bookmarkStart w:id="70" w:name="_Toc32627427"/>
      <w:bookmarkStart w:id="71" w:name="_Toc102272387"/>
      <w:bookmarkStart w:id="72" w:name="_Toc102272612"/>
      <w:r w:rsidRPr="004B6E54">
        <w:rPr>
          <w:rFonts w:ascii="Arial" w:eastAsia="Times New Roman" w:hAnsi="Arial" w:cs="Arial"/>
          <w:b/>
          <w:bCs/>
          <w:kern w:val="32"/>
          <w:sz w:val="24"/>
          <w:szCs w:val="24"/>
          <w:lang w:eastAsia="cs-CZ"/>
        </w:rPr>
        <w:t xml:space="preserve">Platební a obchodní podmínky </w:t>
      </w:r>
      <w:bookmarkEnd w:id="70"/>
      <w:bookmarkEnd w:id="71"/>
      <w:bookmarkEnd w:id="72"/>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 xml:space="preserve">Platební podmínky </w:t>
      </w: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before="120" w:after="0" w:line="240" w:lineRule="auto"/>
        <w:jc w:val="both"/>
        <w:rPr>
          <w:rFonts w:ascii="Arial" w:eastAsia="Times New Roman" w:hAnsi="Arial" w:cs="Arial"/>
          <w:sz w:val="24"/>
          <w:szCs w:val="24"/>
          <w:lang w:eastAsia="cs-CZ"/>
        </w:rPr>
      </w:pPr>
      <w:bookmarkStart w:id="73" w:name="_Toc102272388"/>
      <w:bookmarkStart w:id="74" w:name="_Toc102272613"/>
      <w:r w:rsidRPr="004B6E54">
        <w:rPr>
          <w:rFonts w:ascii="Arial" w:eastAsia="Times New Roman" w:hAnsi="Arial" w:cs="Arial"/>
          <w:sz w:val="24"/>
          <w:szCs w:val="24"/>
          <w:lang w:eastAsia="cs-CZ"/>
        </w:rPr>
        <w:t xml:space="preserve">Zadavatel neposkytuje zálohy. Zadavatel bude za vykonávání předmětu veřejné zakázky platit na základě daňového dokladu – faktury. Tento doklad bude vždy obsahovat přesný soupis </w:t>
      </w:r>
      <w:r w:rsidR="0067576F" w:rsidRPr="004B6E54">
        <w:rPr>
          <w:rFonts w:ascii="Arial" w:eastAsia="Times New Roman" w:hAnsi="Arial" w:cs="Arial"/>
          <w:sz w:val="24"/>
          <w:szCs w:val="24"/>
          <w:lang w:eastAsia="cs-CZ"/>
        </w:rPr>
        <w:t>poskytovaných služeb</w:t>
      </w:r>
      <w:r w:rsidRPr="004B6E54">
        <w:rPr>
          <w:rFonts w:ascii="Arial" w:eastAsia="Times New Roman" w:hAnsi="Arial" w:cs="Arial"/>
          <w:sz w:val="24"/>
          <w:szCs w:val="24"/>
          <w:lang w:eastAsia="cs-CZ"/>
        </w:rPr>
        <w:t>, dílčích objednávek zadavatele, jednotkovou cenu, počet jednotek a celkovou cenu. Faktura bude vystavena zvlášť na každou Krajskou pobočku ÚP ČR (Karlovy Vary, Plzeň, Ústí nad Labem, Liberec, České Budějovice, Praha, Příbram, Hradec Králové, Pardubice, Jihlava, Brno, Olomouc, Ostrava a Zlín) a na Generální ředitelství ÚP ČR (Praha).</w:t>
      </w:r>
    </w:p>
    <w:p w:rsidR="003B3DAD" w:rsidRPr="004B6E54" w:rsidRDefault="003B3DAD" w:rsidP="003B3DAD">
      <w:p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Daňové doklady budou mimo náležitostí stanovených zákonem o DPH a údajů dle § 13a obchodního zákoníku obsahovat i evidenční číslo smlouvy zadavatele. Jestliže daňový doklad nebude obsahovat stanovené náležitosti nebo bude obsahovat chybné údaje, je zadavatel oprávněn jej až do lhůty splatnosti prodávajícímu vrátit. Nová lhůta splatnosti začíná běžet dnem doručení bezvadného daňového dokladu zadavateli.</w:t>
      </w:r>
    </w:p>
    <w:p w:rsidR="003B3DAD" w:rsidRPr="004B6E54" w:rsidRDefault="003B3DAD" w:rsidP="003B3DAD">
      <w:pPr>
        <w:spacing w:after="0" w:line="240" w:lineRule="atLeast"/>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Splatnost daňového dokladu - faktury je</w:t>
      </w:r>
      <w:r w:rsidRPr="004B6E54">
        <w:rPr>
          <w:rFonts w:ascii="Arial" w:eastAsia="Times New Roman" w:hAnsi="Arial" w:cs="Arial"/>
          <w:color w:val="FF0000"/>
          <w:sz w:val="24"/>
          <w:szCs w:val="24"/>
          <w:lang w:eastAsia="cs-CZ"/>
        </w:rPr>
        <w:t xml:space="preserve"> </w:t>
      </w:r>
      <w:r w:rsidRPr="004B6E54">
        <w:rPr>
          <w:rFonts w:ascii="Arial" w:eastAsia="Times New Roman" w:hAnsi="Arial" w:cs="Arial"/>
          <w:sz w:val="24"/>
          <w:szCs w:val="24"/>
          <w:lang w:eastAsia="cs-CZ"/>
        </w:rPr>
        <w:t>následující:</w:t>
      </w:r>
    </w:p>
    <w:p w:rsidR="003B3DAD" w:rsidRPr="004B6E54" w:rsidRDefault="003B3DAD" w:rsidP="003B3DAD">
      <w:pPr>
        <w:numPr>
          <w:ilvl w:val="0"/>
          <w:numId w:val="14"/>
        </w:numPr>
        <w:spacing w:after="0" w:line="240" w:lineRule="atLeast"/>
        <w:jc w:val="both"/>
        <w:rPr>
          <w:rFonts w:ascii="Arial" w:eastAsia="Times New Roman" w:hAnsi="Arial" w:cs="Arial"/>
          <w:sz w:val="24"/>
          <w:szCs w:val="24"/>
          <w:lang w:eastAsia="cs-CZ"/>
        </w:rPr>
      </w:pPr>
      <w:r w:rsidRPr="004B6E54">
        <w:rPr>
          <w:rFonts w:ascii="Arial" w:eastAsia="Times New Roman" w:hAnsi="Arial" w:cs="Arial"/>
          <w:b/>
          <w:sz w:val="24"/>
          <w:szCs w:val="24"/>
          <w:u w:val="single"/>
          <w:lang w:eastAsia="cs-CZ"/>
        </w:rPr>
        <w:t>30 dnů</w:t>
      </w:r>
      <w:r w:rsidRPr="004B6E54">
        <w:rPr>
          <w:rFonts w:ascii="Arial" w:eastAsia="Times New Roman" w:hAnsi="Arial" w:cs="Arial"/>
          <w:sz w:val="24"/>
          <w:szCs w:val="24"/>
          <w:lang w:eastAsia="cs-CZ"/>
        </w:rPr>
        <w:t xml:space="preserve"> ode dne doručení pro měsíce březen až prosinec každého kalendářního roku výkonu činnosti</w:t>
      </w:r>
    </w:p>
    <w:p w:rsidR="003B3DAD" w:rsidRPr="004B6E54" w:rsidRDefault="003B3DAD" w:rsidP="003B3DAD">
      <w:pPr>
        <w:numPr>
          <w:ilvl w:val="0"/>
          <w:numId w:val="14"/>
        </w:numPr>
        <w:spacing w:after="0" w:line="240" w:lineRule="atLeast"/>
        <w:jc w:val="both"/>
        <w:rPr>
          <w:rFonts w:ascii="Arial" w:eastAsia="Times New Roman" w:hAnsi="Arial" w:cs="Arial"/>
          <w:sz w:val="24"/>
          <w:szCs w:val="24"/>
          <w:lang w:eastAsia="cs-CZ"/>
        </w:rPr>
      </w:pPr>
      <w:r w:rsidRPr="004B6E54">
        <w:rPr>
          <w:rFonts w:ascii="Arial" w:eastAsia="Times New Roman" w:hAnsi="Arial" w:cs="Arial"/>
          <w:b/>
          <w:sz w:val="24"/>
          <w:szCs w:val="24"/>
          <w:u w:val="single"/>
          <w:lang w:eastAsia="cs-CZ"/>
        </w:rPr>
        <w:t>90 dnů</w:t>
      </w:r>
      <w:r w:rsidRPr="004B6E54">
        <w:rPr>
          <w:rFonts w:ascii="Arial" w:eastAsia="Times New Roman" w:hAnsi="Arial" w:cs="Arial"/>
          <w:sz w:val="24"/>
          <w:szCs w:val="24"/>
          <w:lang w:eastAsia="cs-CZ"/>
        </w:rPr>
        <w:t xml:space="preserve"> pro měsíc leden každého kalendářního roku výkonu činnosti</w:t>
      </w:r>
    </w:p>
    <w:p w:rsidR="003B3DAD" w:rsidRPr="004B6E54" w:rsidRDefault="003B3DAD" w:rsidP="003B3DAD">
      <w:pPr>
        <w:numPr>
          <w:ilvl w:val="0"/>
          <w:numId w:val="14"/>
        </w:numPr>
        <w:spacing w:after="0" w:line="240" w:lineRule="atLeast"/>
        <w:jc w:val="both"/>
        <w:rPr>
          <w:rFonts w:ascii="Arial" w:eastAsia="Times New Roman" w:hAnsi="Arial" w:cs="Arial"/>
          <w:sz w:val="24"/>
          <w:szCs w:val="24"/>
          <w:lang w:eastAsia="cs-CZ"/>
        </w:rPr>
      </w:pPr>
      <w:r w:rsidRPr="004B6E54">
        <w:rPr>
          <w:rFonts w:ascii="Arial" w:eastAsia="Times New Roman" w:hAnsi="Arial" w:cs="Arial"/>
          <w:b/>
          <w:sz w:val="24"/>
          <w:szCs w:val="24"/>
          <w:u w:val="single"/>
          <w:lang w:eastAsia="cs-CZ"/>
        </w:rPr>
        <w:t>60 dnů</w:t>
      </w:r>
      <w:r w:rsidRPr="004B6E54">
        <w:rPr>
          <w:rFonts w:ascii="Arial" w:eastAsia="Times New Roman" w:hAnsi="Arial" w:cs="Arial"/>
          <w:sz w:val="24"/>
          <w:szCs w:val="24"/>
          <w:lang w:eastAsia="cs-CZ"/>
        </w:rPr>
        <w:t xml:space="preserve"> pro měsíc únor každého kalendářního roku výkonu činnosti.</w:t>
      </w:r>
    </w:p>
    <w:p w:rsidR="003B3DAD" w:rsidRPr="004B6E54" w:rsidRDefault="003B3DAD" w:rsidP="003B3DAD">
      <w:pPr>
        <w:numPr>
          <w:ilvl w:val="0"/>
          <w:numId w:val="14"/>
        </w:numPr>
        <w:spacing w:after="0" w:line="240" w:lineRule="atLeast"/>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Dodavatel je povinen vystavit a předat fakturu tak, aby byla zadavateli doručena nejpozději desátý pracovní den následujícího měsíce.</w:t>
      </w:r>
    </w:p>
    <w:p w:rsidR="003B3DAD" w:rsidRPr="004B6E54" w:rsidRDefault="003B3DAD" w:rsidP="003B3DAD">
      <w:pPr>
        <w:spacing w:before="120" w:after="0" w:line="240" w:lineRule="auto"/>
        <w:jc w:val="both"/>
        <w:rPr>
          <w:rFonts w:ascii="Arial" w:eastAsia="Times New Roman" w:hAnsi="Arial" w:cs="Arial"/>
          <w:sz w:val="24"/>
          <w:szCs w:val="24"/>
          <w:lang w:eastAsia="cs-CZ"/>
        </w:rPr>
      </w:pPr>
    </w:p>
    <w:p w:rsidR="003B3DAD" w:rsidRPr="004B6E54" w:rsidRDefault="003B3DAD" w:rsidP="003B3DAD">
      <w:p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Uchazeč je oprávněn nabídnout výhodnější platební podmínky.</w:t>
      </w:r>
    </w:p>
    <w:p w:rsidR="003B3DAD" w:rsidRPr="004B6E54" w:rsidRDefault="003B3DAD" w:rsidP="003B3DAD">
      <w:pPr>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nepřipouští žádné podmínky pro překročení nabídkové ceny, kromě změny obecně závazných předpisů.</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Obchodní podmínky</w:t>
      </w:r>
      <w:bookmarkEnd w:id="73"/>
      <w:bookmarkEnd w:id="74"/>
      <w:r w:rsidRPr="004B6E54">
        <w:rPr>
          <w:rFonts w:ascii="Arial" w:eastAsia="Times New Roman" w:hAnsi="Arial" w:cs="Arial"/>
          <w:b/>
          <w:bCs/>
          <w:i/>
          <w:iCs/>
          <w:snapToGrid w:val="0"/>
          <w:sz w:val="24"/>
          <w:szCs w:val="24"/>
          <w:lang w:eastAsia="cs-CZ"/>
        </w:rPr>
        <w:t xml:space="preserve"> </w:t>
      </w:r>
    </w:p>
    <w:p w:rsidR="003B3DAD" w:rsidRPr="004B6E54" w:rsidRDefault="003B3DAD" w:rsidP="003B3DAD">
      <w:pPr>
        <w:spacing w:after="0" w:line="240" w:lineRule="auto"/>
        <w:jc w:val="center"/>
        <w:rPr>
          <w:rFonts w:ascii="Arial" w:eastAsia="Times New Roman" w:hAnsi="Arial" w:cs="Arial"/>
          <w:b/>
          <w:lang w:eastAsia="cs-CZ"/>
        </w:rPr>
      </w:pPr>
      <w:r w:rsidRPr="004B6E54">
        <w:rPr>
          <w:rFonts w:ascii="Arial" w:eastAsia="Times New Roman" w:hAnsi="Arial" w:cs="Arial"/>
          <w:b/>
          <w:lang w:eastAsia="cs-CZ"/>
        </w:rPr>
        <w:t>§ 1</w:t>
      </w:r>
    </w:p>
    <w:p w:rsidR="003B3DAD" w:rsidRPr="004B6E54" w:rsidRDefault="003B3DAD" w:rsidP="003B3DAD">
      <w:pPr>
        <w:spacing w:after="0" w:line="240" w:lineRule="auto"/>
        <w:jc w:val="center"/>
        <w:rPr>
          <w:rFonts w:ascii="Arial" w:eastAsia="Times New Roman" w:hAnsi="Arial" w:cs="Arial"/>
          <w:b/>
          <w:lang w:eastAsia="cs-CZ"/>
        </w:rPr>
      </w:pPr>
      <w:r w:rsidRPr="004B6E54">
        <w:rPr>
          <w:rFonts w:ascii="Arial" w:eastAsia="Times New Roman" w:hAnsi="Arial" w:cs="Arial"/>
          <w:b/>
          <w:lang w:eastAsia="cs-CZ"/>
        </w:rPr>
        <w:t>Předmět smlouvy</w:t>
      </w:r>
    </w:p>
    <w:p w:rsidR="003B3DAD" w:rsidRPr="004B6E54" w:rsidRDefault="003B3DAD" w:rsidP="003B3DAD">
      <w:pPr>
        <w:spacing w:after="0" w:line="240" w:lineRule="auto"/>
        <w:jc w:val="center"/>
        <w:rPr>
          <w:rFonts w:ascii="Arial" w:eastAsia="Times New Roman" w:hAnsi="Arial" w:cs="Arial"/>
          <w:lang w:eastAsia="cs-CZ"/>
        </w:rPr>
      </w:pPr>
    </w:p>
    <w:p w:rsidR="003B3DAD" w:rsidRPr="004B6E54" w:rsidRDefault="003B3DAD" w:rsidP="003B3DAD">
      <w:pPr>
        <w:numPr>
          <w:ilvl w:val="0"/>
          <w:numId w:val="22"/>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Předmětem veřejné zakázky jsou pojišťovací služby sjednané mezi uchazečem a zadavatelem pro vozidla Úřadu práce České republiky. </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spacing w:after="0" w:line="240" w:lineRule="auto"/>
        <w:jc w:val="center"/>
        <w:rPr>
          <w:rFonts w:ascii="Arial" w:eastAsia="Times New Roman" w:hAnsi="Arial" w:cs="Arial"/>
          <w:b/>
          <w:lang w:eastAsia="cs-CZ"/>
        </w:rPr>
      </w:pPr>
      <w:r w:rsidRPr="004B6E54">
        <w:rPr>
          <w:rFonts w:ascii="Arial" w:eastAsia="Times New Roman" w:hAnsi="Arial" w:cs="Arial"/>
          <w:b/>
          <w:lang w:eastAsia="cs-CZ"/>
        </w:rPr>
        <w:t>§ 2</w:t>
      </w:r>
    </w:p>
    <w:p w:rsidR="003B3DAD" w:rsidRPr="004B6E54" w:rsidRDefault="003B3DAD" w:rsidP="003B3DAD">
      <w:pPr>
        <w:spacing w:after="0" w:line="240" w:lineRule="auto"/>
        <w:jc w:val="center"/>
        <w:rPr>
          <w:rFonts w:ascii="Arial" w:eastAsia="Times New Roman" w:hAnsi="Arial" w:cs="Arial"/>
          <w:b/>
          <w:lang w:eastAsia="cs-CZ"/>
        </w:rPr>
      </w:pPr>
      <w:r w:rsidRPr="004B6E54">
        <w:rPr>
          <w:rFonts w:ascii="Arial" w:eastAsia="Times New Roman" w:hAnsi="Arial" w:cs="Arial"/>
          <w:b/>
          <w:lang w:eastAsia="cs-CZ"/>
        </w:rPr>
        <w:t>Uzavření smlouvy</w:t>
      </w:r>
    </w:p>
    <w:p w:rsidR="003B3DAD" w:rsidRPr="004B6E54" w:rsidRDefault="003B3DAD" w:rsidP="003B3DAD">
      <w:pPr>
        <w:spacing w:after="0" w:line="240" w:lineRule="auto"/>
        <w:jc w:val="center"/>
        <w:rPr>
          <w:rFonts w:ascii="Arial" w:eastAsia="Times New Roman" w:hAnsi="Arial" w:cs="Arial"/>
          <w:lang w:eastAsia="cs-CZ"/>
        </w:rPr>
      </w:pPr>
    </w:p>
    <w:p w:rsidR="003B3DAD" w:rsidRPr="004B6E54" w:rsidRDefault="003B3DAD" w:rsidP="003B3DAD">
      <w:pPr>
        <w:numPr>
          <w:ilvl w:val="0"/>
          <w:numId w:val="23"/>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Uchazeči, kterému v rámci veřejné soutěže bude nabídka vyhodnocena, jako ekonomicky nejvýhodnější bude zadavatelem přidělena veřejná zakázka v souladu s § 81 zákona č.137/2006 Sb.</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numPr>
          <w:ilvl w:val="0"/>
          <w:numId w:val="23"/>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Uzavření smlouvy po splnění předepsaných podmínek bude realizováno v souladu s § 82 zákona č.137/2006 Sb. na období </w:t>
      </w:r>
      <w:r w:rsidR="0067576F" w:rsidRPr="004B6E54">
        <w:rPr>
          <w:rFonts w:ascii="Arial" w:eastAsia="Times New Roman" w:hAnsi="Arial" w:cs="Arial"/>
          <w:lang w:eastAsia="cs-CZ"/>
        </w:rPr>
        <w:t>do 31. 12. 2012</w:t>
      </w:r>
      <w:r w:rsidRPr="004B6E54">
        <w:rPr>
          <w:rFonts w:ascii="Arial" w:eastAsia="Times New Roman" w:hAnsi="Arial" w:cs="Arial"/>
          <w:lang w:eastAsia="cs-CZ"/>
        </w:rPr>
        <w:t>.</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23"/>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Uchazeč o veřejnou zakázku je vázán svou nabídkou na uzavření smlouvy do 30.6. 2012. </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23"/>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Smlouva bude uzavřena v režimu zákona č.168/1999 Sb., č.37/2004 Sb. a prováděcích vyhlášek k těmto zákonům v platném znění.</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jc w:val="center"/>
        <w:rPr>
          <w:rFonts w:ascii="Arial" w:eastAsia="Times New Roman" w:hAnsi="Arial" w:cs="Arial"/>
          <w:lang w:eastAsia="cs-CZ"/>
        </w:rPr>
      </w:pPr>
      <w:r w:rsidRPr="004B6E54">
        <w:rPr>
          <w:rFonts w:ascii="Arial" w:eastAsia="Times New Roman" w:hAnsi="Arial" w:cs="Arial"/>
          <w:b/>
          <w:lang w:eastAsia="cs-CZ"/>
        </w:rPr>
        <w:t>§ 3</w:t>
      </w:r>
    </w:p>
    <w:p w:rsidR="003B3DAD" w:rsidRPr="004B6E54" w:rsidRDefault="003B3DAD" w:rsidP="003B3DAD">
      <w:pPr>
        <w:spacing w:after="0" w:line="240" w:lineRule="auto"/>
        <w:jc w:val="center"/>
        <w:rPr>
          <w:rFonts w:ascii="Arial" w:eastAsia="Times New Roman" w:hAnsi="Arial" w:cs="Arial"/>
          <w:b/>
          <w:lang w:eastAsia="cs-CZ"/>
        </w:rPr>
      </w:pPr>
      <w:r w:rsidRPr="004B6E54">
        <w:rPr>
          <w:rFonts w:ascii="Arial" w:eastAsia="Times New Roman" w:hAnsi="Arial" w:cs="Arial"/>
          <w:b/>
          <w:lang w:eastAsia="cs-CZ"/>
        </w:rPr>
        <w:t>Platební podmínky</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24"/>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Uchazeč je oprávněn požadovat plnění v souladu s nabídkou v pravidelných ročních (půlročních) splátkách. </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numPr>
          <w:ilvl w:val="0"/>
          <w:numId w:val="24"/>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Zadavatel je povinen platit pojistné ve výši, lhůtě a způsobem uvedeným v pojistné smlouvě. Cena za předmět zakázky, včetně všech systémových služeb a nákladů je stanovena na základě nabídky uchazeče, Smlouvy a výsledků zadávacího řízení.</w:t>
      </w:r>
    </w:p>
    <w:p w:rsidR="003B3DAD" w:rsidRPr="004B6E54" w:rsidRDefault="003B3DAD" w:rsidP="003B3DAD">
      <w:pPr>
        <w:spacing w:after="0" w:line="240" w:lineRule="auto"/>
        <w:jc w:val="center"/>
        <w:rPr>
          <w:rFonts w:ascii="Arial" w:eastAsia="Times New Roman" w:hAnsi="Arial" w:cs="Arial"/>
          <w:lang w:eastAsia="cs-CZ"/>
        </w:rPr>
      </w:pPr>
      <w:r w:rsidRPr="004B6E54">
        <w:rPr>
          <w:rFonts w:ascii="Arial" w:eastAsia="Times New Roman" w:hAnsi="Arial" w:cs="Arial"/>
          <w:b/>
          <w:lang w:eastAsia="cs-CZ"/>
        </w:rPr>
        <w:t>§ 4</w:t>
      </w:r>
    </w:p>
    <w:p w:rsidR="003B3DAD" w:rsidRPr="004B6E54" w:rsidRDefault="003B3DAD" w:rsidP="003B3DAD">
      <w:pPr>
        <w:spacing w:after="0" w:line="240" w:lineRule="auto"/>
        <w:jc w:val="center"/>
        <w:rPr>
          <w:rFonts w:ascii="Arial" w:eastAsia="Times New Roman" w:hAnsi="Arial" w:cs="Arial"/>
          <w:b/>
          <w:lang w:eastAsia="cs-CZ"/>
        </w:rPr>
      </w:pPr>
      <w:r w:rsidRPr="004B6E54">
        <w:rPr>
          <w:rFonts w:ascii="Arial" w:eastAsia="Times New Roman" w:hAnsi="Arial" w:cs="Arial"/>
          <w:b/>
          <w:lang w:eastAsia="cs-CZ"/>
        </w:rPr>
        <w:t>Obchodní tajemství</w:t>
      </w:r>
    </w:p>
    <w:p w:rsidR="003B3DAD" w:rsidRPr="004B6E54" w:rsidRDefault="003B3DAD" w:rsidP="003B3DAD">
      <w:pPr>
        <w:spacing w:after="0" w:line="240" w:lineRule="auto"/>
        <w:jc w:val="center"/>
        <w:rPr>
          <w:rFonts w:ascii="Arial" w:eastAsia="Times New Roman" w:hAnsi="Arial" w:cs="Arial"/>
          <w:lang w:eastAsia="cs-CZ"/>
        </w:rPr>
      </w:pPr>
    </w:p>
    <w:p w:rsidR="003B3DAD" w:rsidRPr="004B6E54" w:rsidRDefault="003B3DAD" w:rsidP="003B3DAD">
      <w:pPr>
        <w:numPr>
          <w:ilvl w:val="0"/>
          <w:numId w:val="25"/>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Smluvní strany se dohodly, že veškeré skutečnosti, které nejsou běžně dostupné v obchodních kruzích a které budou obsaženy ve smlouvě, popř. přijdou s nimi do styku při její realizaci, tvoří předmět obchodního tajemství a zavazují se je nesdělovat třetím stranám bez předchozího písemného souhlasu druhé smluvní strany. Za porušení této povinnosti se nepovažuje poskytnutí tzv. „povinných informací“ ve smyslu zákona č. 106/1999 Sb., o svobodném přístupu k informacím, ve znění pozdějších předpisů.</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numPr>
          <w:ilvl w:val="0"/>
          <w:numId w:val="25"/>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Závazek ochrany obchodního tajemství trvá po celou dobu trvání skutečností tvořících obchodní tajemství. Jestliže si strany při obchodním styku vzájemně poskytnou informace tvořící obchodní tajemství, nesmí strana, které byly tyto informace poskytnuty, je prozradit třetí osobě ani je použít v rozporu s jejich účelem pro své potřeby. </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25"/>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Po ukončení obchodního vztahu může každá ze stran žádat od druhé strany vrácení všech poskytnutých materiálů obsahujících informace tvořících obchodní tajemství a druhá strana je povinna tyto materiály vč. jejich případně pořízených kopií neprodleně vrátit.</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25"/>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Stejným způsobem budou strany chránit důvěrné informace a skutečnosti tvořící obchodní tajemství třetí osoby, které byly touto třetí stranou některé ze smluvních stran poskytnuty se svolením jejich dalšího užití.</w:t>
      </w:r>
    </w:p>
    <w:p w:rsidR="003B3DAD" w:rsidRPr="004B6E54" w:rsidRDefault="003B3DAD" w:rsidP="003B3DAD">
      <w:pPr>
        <w:spacing w:after="0" w:line="240" w:lineRule="auto"/>
        <w:ind w:left="42"/>
        <w:jc w:val="both"/>
        <w:rPr>
          <w:rFonts w:ascii="Arial" w:eastAsia="Times New Roman" w:hAnsi="Arial" w:cs="Arial"/>
          <w:lang w:eastAsia="cs-CZ"/>
        </w:rPr>
      </w:pPr>
    </w:p>
    <w:p w:rsidR="003B3DAD" w:rsidRPr="004B6E54" w:rsidRDefault="003B3DAD" w:rsidP="003B3DAD">
      <w:pPr>
        <w:spacing w:after="0" w:line="240" w:lineRule="auto"/>
        <w:jc w:val="center"/>
        <w:rPr>
          <w:rFonts w:ascii="Arial" w:eastAsia="Times New Roman" w:hAnsi="Arial" w:cs="Arial"/>
          <w:lang w:eastAsia="cs-CZ"/>
        </w:rPr>
      </w:pPr>
      <w:r w:rsidRPr="004B6E54">
        <w:rPr>
          <w:rFonts w:ascii="Arial" w:eastAsia="Times New Roman" w:hAnsi="Arial" w:cs="Arial"/>
          <w:b/>
          <w:lang w:eastAsia="cs-CZ"/>
        </w:rPr>
        <w:lastRenderedPageBreak/>
        <w:t>§ 5</w:t>
      </w:r>
    </w:p>
    <w:p w:rsidR="003B3DAD" w:rsidRPr="004B6E54" w:rsidRDefault="003B3DAD" w:rsidP="003B3DAD">
      <w:pPr>
        <w:spacing w:after="0" w:line="240" w:lineRule="auto"/>
        <w:jc w:val="center"/>
        <w:rPr>
          <w:rFonts w:ascii="Arial" w:eastAsia="Times New Roman" w:hAnsi="Arial" w:cs="Arial"/>
          <w:b/>
          <w:lang w:eastAsia="cs-CZ"/>
        </w:rPr>
      </w:pPr>
      <w:r w:rsidRPr="004B6E54">
        <w:rPr>
          <w:rFonts w:ascii="Arial" w:eastAsia="Times New Roman" w:hAnsi="Arial" w:cs="Arial"/>
          <w:b/>
          <w:lang w:eastAsia="cs-CZ"/>
        </w:rPr>
        <w:t>Místo a způsob plnění</w:t>
      </w:r>
    </w:p>
    <w:p w:rsidR="003B3DAD" w:rsidRPr="004B6E54" w:rsidRDefault="003B3DAD" w:rsidP="003B3DAD">
      <w:pPr>
        <w:spacing w:after="0" w:line="240" w:lineRule="auto"/>
        <w:ind w:left="720" w:hanging="360"/>
        <w:jc w:val="center"/>
        <w:rPr>
          <w:rFonts w:ascii="Arial" w:eastAsia="Times New Roman" w:hAnsi="Arial" w:cs="Arial"/>
          <w:lang w:eastAsia="cs-CZ"/>
        </w:rPr>
      </w:pPr>
    </w:p>
    <w:p w:rsidR="003B3DAD" w:rsidRPr="004B6E54" w:rsidRDefault="003B3DAD" w:rsidP="003B3DAD">
      <w:pPr>
        <w:numPr>
          <w:ilvl w:val="2"/>
          <w:numId w:val="21"/>
        </w:numPr>
        <w:tabs>
          <w:tab w:val="num" w:pos="720"/>
        </w:tabs>
        <w:spacing w:after="0" w:line="240" w:lineRule="auto"/>
        <w:ind w:left="720"/>
        <w:jc w:val="both"/>
        <w:rPr>
          <w:rFonts w:ascii="Arial" w:eastAsia="Times New Roman" w:hAnsi="Arial" w:cs="Arial"/>
          <w:lang w:eastAsia="cs-CZ"/>
        </w:rPr>
      </w:pPr>
      <w:r w:rsidRPr="004B6E54">
        <w:rPr>
          <w:rFonts w:ascii="Arial" w:eastAsia="Times New Roman" w:hAnsi="Arial" w:cs="Arial"/>
          <w:lang w:eastAsia="cs-CZ"/>
        </w:rPr>
        <w:t xml:space="preserve">Uchazeč plní svůj závazek na území České republiky a států „Evropa“ dle specifikace zadávací dokumentace kapitola </w:t>
      </w:r>
      <w:smartTag w:uri="urn:schemas-microsoft-com:office:smarttags" w:element="metricconverter">
        <w:smartTagPr>
          <w:attr w:name="ProductID" w:val="2 a"/>
        </w:smartTagPr>
        <w:r w:rsidRPr="004B6E54">
          <w:rPr>
            <w:rFonts w:ascii="Arial" w:eastAsia="Times New Roman" w:hAnsi="Arial" w:cs="Arial"/>
            <w:lang w:eastAsia="cs-CZ"/>
          </w:rPr>
          <w:t>2 a</w:t>
        </w:r>
      </w:smartTag>
      <w:r w:rsidRPr="004B6E54">
        <w:rPr>
          <w:rFonts w:ascii="Arial" w:eastAsia="Times New Roman" w:hAnsi="Arial" w:cs="Arial"/>
          <w:lang w:eastAsia="cs-CZ"/>
        </w:rPr>
        <w:t xml:space="preserve"> nabídky uchazeče.</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spacing w:after="0" w:line="240" w:lineRule="auto"/>
        <w:jc w:val="center"/>
        <w:rPr>
          <w:rFonts w:ascii="Arial" w:eastAsia="Times New Roman" w:hAnsi="Arial" w:cs="Arial"/>
          <w:lang w:eastAsia="cs-CZ"/>
        </w:rPr>
      </w:pPr>
      <w:r w:rsidRPr="004B6E54">
        <w:rPr>
          <w:rFonts w:ascii="Arial" w:eastAsia="Times New Roman" w:hAnsi="Arial" w:cs="Arial"/>
          <w:b/>
          <w:lang w:eastAsia="cs-CZ"/>
        </w:rPr>
        <w:t>§ 6</w:t>
      </w:r>
    </w:p>
    <w:p w:rsidR="003B3DAD" w:rsidRPr="004B6E54" w:rsidRDefault="003B3DAD" w:rsidP="003B3DAD">
      <w:pPr>
        <w:spacing w:after="0" w:line="240" w:lineRule="auto"/>
        <w:jc w:val="center"/>
        <w:rPr>
          <w:rFonts w:ascii="Arial" w:eastAsia="Times New Roman" w:hAnsi="Arial" w:cs="Arial"/>
          <w:b/>
          <w:bCs/>
          <w:lang w:eastAsia="cs-CZ"/>
        </w:rPr>
      </w:pPr>
      <w:r w:rsidRPr="004B6E54">
        <w:rPr>
          <w:rFonts w:ascii="Arial" w:eastAsia="Times New Roman" w:hAnsi="Arial" w:cs="Arial"/>
          <w:b/>
          <w:bCs/>
          <w:lang w:eastAsia="cs-CZ"/>
        </w:rPr>
        <w:t>Práva a závazky uchazeče</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numPr>
          <w:ilvl w:val="0"/>
          <w:numId w:val="26"/>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Uchazeč poskytne předmět veřejné zakázky v souladu s právními předpisy a na své náklady a nebezpečí.</w:t>
      </w:r>
    </w:p>
    <w:p w:rsidR="003B3DAD" w:rsidRPr="004B6E54" w:rsidRDefault="003B3DAD" w:rsidP="003B3DAD">
      <w:pPr>
        <w:spacing w:after="0" w:line="240" w:lineRule="auto"/>
        <w:ind w:left="360"/>
        <w:jc w:val="both"/>
        <w:rPr>
          <w:rFonts w:ascii="Arial" w:eastAsia="Times New Roman" w:hAnsi="Arial" w:cs="Arial"/>
          <w:lang w:eastAsia="cs-CZ"/>
        </w:rPr>
      </w:pPr>
    </w:p>
    <w:p w:rsidR="003B3DAD" w:rsidRPr="004B6E54" w:rsidRDefault="003B3DAD" w:rsidP="003B3DAD">
      <w:pPr>
        <w:numPr>
          <w:ilvl w:val="0"/>
          <w:numId w:val="26"/>
        </w:numPr>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Uchazeč odpovídá za poskytování předmětu veřejné zakázky v souladu se smlouvou a předloženou nabídkou. </w:t>
      </w:r>
    </w:p>
    <w:p w:rsidR="003B3DAD" w:rsidRPr="004B6E54" w:rsidRDefault="003B3DAD" w:rsidP="003B3DAD">
      <w:pPr>
        <w:spacing w:after="0" w:line="240" w:lineRule="auto"/>
        <w:jc w:val="both"/>
        <w:rPr>
          <w:rFonts w:ascii="Arial" w:eastAsia="Times New Roman" w:hAnsi="Arial" w:cs="Arial"/>
          <w:lang w:eastAsia="cs-CZ"/>
        </w:rPr>
      </w:pPr>
    </w:p>
    <w:p w:rsidR="003B3DAD" w:rsidRPr="004B6E54" w:rsidRDefault="003B3DAD" w:rsidP="003B3DAD">
      <w:pPr>
        <w:spacing w:after="0" w:line="240" w:lineRule="auto"/>
        <w:jc w:val="center"/>
        <w:rPr>
          <w:rFonts w:ascii="Arial" w:eastAsia="Times New Roman" w:hAnsi="Arial" w:cs="Arial"/>
          <w:b/>
          <w:bCs/>
          <w:lang w:eastAsia="cs-CZ"/>
        </w:rPr>
      </w:pPr>
      <w:r w:rsidRPr="004B6E54">
        <w:rPr>
          <w:rFonts w:ascii="Arial" w:eastAsia="Times New Roman" w:hAnsi="Arial" w:cs="Arial"/>
          <w:b/>
          <w:bCs/>
          <w:lang w:eastAsia="cs-CZ"/>
        </w:rPr>
        <w:t>§ 7</w:t>
      </w:r>
    </w:p>
    <w:p w:rsidR="003B3DAD" w:rsidRPr="004B6E54" w:rsidRDefault="003B3DAD" w:rsidP="003B3DAD">
      <w:pPr>
        <w:spacing w:after="0" w:line="240" w:lineRule="auto"/>
        <w:jc w:val="center"/>
        <w:rPr>
          <w:rFonts w:ascii="Arial" w:eastAsia="Times New Roman" w:hAnsi="Arial" w:cs="Arial"/>
          <w:b/>
          <w:bCs/>
          <w:lang w:eastAsia="cs-CZ"/>
        </w:rPr>
      </w:pPr>
      <w:r w:rsidRPr="004B6E54">
        <w:rPr>
          <w:rFonts w:ascii="Arial" w:eastAsia="Times New Roman" w:hAnsi="Arial" w:cs="Arial"/>
          <w:b/>
          <w:bCs/>
          <w:lang w:eastAsia="cs-CZ"/>
        </w:rPr>
        <w:t>Práva a závazky zadavatele</w:t>
      </w:r>
    </w:p>
    <w:p w:rsidR="003B3DAD" w:rsidRPr="004B6E54" w:rsidRDefault="003B3DAD" w:rsidP="003B3DAD">
      <w:pPr>
        <w:spacing w:after="0" w:line="240" w:lineRule="auto"/>
        <w:jc w:val="center"/>
        <w:rPr>
          <w:rFonts w:ascii="Arial" w:eastAsia="Times New Roman" w:hAnsi="Arial" w:cs="Arial"/>
          <w:b/>
          <w:bCs/>
          <w:lang w:eastAsia="cs-CZ"/>
        </w:rPr>
      </w:pPr>
    </w:p>
    <w:p w:rsidR="003B3DAD" w:rsidRPr="004B6E54" w:rsidRDefault="003B3DAD" w:rsidP="003B3DAD">
      <w:pPr>
        <w:numPr>
          <w:ilvl w:val="0"/>
          <w:numId w:val="27"/>
        </w:numPr>
        <w:tabs>
          <w:tab w:val="num" w:pos="1440"/>
        </w:tabs>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Zadavatel je povinen dodržovat ustanovení Smlouvy a dalších povinností ve Smlouvě uvedených a podmínek poskytnutých v rámci plnění uchazečem. </w:t>
      </w:r>
    </w:p>
    <w:p w:rsidR="003B3DAD" w:rsidRPr="004B6E54" w:rsidRDefault="003B3DAD" w:rsidP="003B3DAD">
      <w:pPr>
        <w:tabs>
          <w:tab w:val="num" w:pos="1440"/>
        </w:tabs>
        <w:spacing w:after="0" w:line="240" w:lineRule="auto"/>
        <w:ind w:left="360"/>
        <w:jc w:val="both"/>
        <w:rPr>
          <w:rFonts w:ascii="Arial" w:eastAsia="Times New Roman" w:hAnsi="Arial" w:cs="Arial"/>
          <w:lang w:eastAsia="cs-CZ"/>
        </w:rPr>
      </w:pPr>
    </w:p>
    <w:p w:rsidR="003B3DAD" w:rsidRPr="004B6E54" w:rsidRDefault="003B3DAD" w:rsidP="003B3DAD">
      <w:pPr>
        <w:numPr>
          <w:ilvl w:val="0"/>
          <w:numId w:val="27"/>
        </w:numPr>
        <w:tabs>
          <w:tab w:val="num" w:pos="1440"/>
        </w:tabs>
        <w:spacing w:after="0" w:line="240" w:lineRule="auto"/>
        <w:jc w:val="both"/>
        <w:rPr>
          <w:rFonts w:ascii="Arial" w:eastAsia="Times New Roman" w:hAnsi="Arial" w:cs="Arial"/>
          <w:lang w:eastAsia="cs-CZ"/>
        </w:rPr>
      </w:pPr>
      <w:r w:rsidRPr="004B6E54">
        <w:rPr>
          <w:rFonts w:ascii="Arial" w:eastAsia="Times New Roman" w:hAnsi="Arial" w:cs="Arial"/>
          <w:lang w:eastAsia="cs-CZ"/>
        </w:rPr>
        <w:t xml:space="preserve">Zadavatel poskytne součinnost, která je nutná k řádnému zajištění předmětu veřejné zakázky. </w:t>
      </w:r>
    </w:p>
    <w:p w:rsidR="003B3DAD" w:rsidRPr="004B6E54" w:rsidRDefault="003B3DAD" w:rsidP="003B3DAD">
      <w:pPr>
        <w:tabs>
          <w:tab w:val="num" w:pos="1440"/>
        </w:tabs>
        <w:spacing w:after="0" w:line="240" w:lineRule="auto"/>
        <w:jc w:val="both"/>
        <w:rPr>
          <w:rFonts w:ascii="Arial" w:eastAsia="Times New Roman" w:hAnsi="Arial" w:cs="Arial"/>
          <w:lang w:eastAsia="cs-CZ"/>
        </w:rPr>
      </w:pPr>
    </w:p>
    <w:p w:rsidR="003B3DAD" w:rsidRPr="004B6E54" w:rsidRDefault="003B3DAD" w:rsidP="003B3DAD">
      <w:pPr>
        <w:spacing w:after="0" w:line="240" w:lineRule="auto"/>
        <w:jc w:val="center"/>
        <w:rPr>
          <w:rFonts w:ascii="Arial" w:eastAsia="Times New Roman" w:hAnsi="Arial" w:cs="Arial"/>
          <w:lang w:eastAsia="cs-CZ"/>
        </w:rPr>
      </w:pPr>
      <w:r w:rsidRPr="004B6E54">
        <w:rPr>
          <w:rFonts w:ascii="Arial" w:eastAsia="Times New Roman" w:hAnsi="Arial" w:cs="Arial"/>
          <w:b/>
          <w:lang w:eastAsia="cs-CZ"/>
        </w:rPr>
        <w:t>§ 8</w:t>
      </w:r>
    </w:p>
    <w:p w:rsidR="003B3DAD" w:rsidRPr="004B6E54" w:rsidRDefault="003B3DAD" w:rsidP="003B3DAD">
      <w:pPr>
        <w:spacing w:after="0" w:line="240" w:lineRule="auto"/>
        <w:jc w:val="center"/>
        <w:rPr>
          <w:rFonts w:ascii="Arial" w:eastAsia="Times New Roman" w:hAnsi="Arial" w:cs="Arial"/>
          <w:b/>
          <w:lang w:eastAsia="cs-CZ"/>
        </w:rPr>
      </w:pPr>
      <w:r w:rsidRPr="004B6E54">
        <w:rPr>
          <w:rFonts w:ascii="Arial" w:eastAsia="Times New Roman" w:hAnsi="Arial" w:cs="Arial"/>
          <w:b/>
          <w:lang w:eastAsia="cs-CZ"/>
        </w:rPr>
        <w:t>Závěrečná ustanovení</w:t>
      </w:r>
    </w:p>
    <w:p w:rsidR="003B3DAD" w:rsidRPr="004B6E54" w:rsidRDefault="003B3DAD" w:rsidP="003B3DAD">
      <w:pPr>
        <w:spacing w:after="0" w:line="240" w:lineRule="auto"/>
        <w:jc w:val="both"/>
        <w:rPr>
          <w:rFonts w:ascii="Arial" w:eastAsia="Times New Roman" w:hAnsi="Arial" w:cs="Arial"/>
          <w:b/>
          <w:lang w:eastAsia="cs-CZ"/>
        </w:rPr>
      </w:pPr>
    </w:p>
    <w:p w:rsidR="003B3DAD" w:rsidRPr="004B6E54" w:rsidRDefault="003B3DAD" w:rsidP="003B3DAD">
      <w:pPr>
        <w:numPr>
          <w:ilvl w:val="0"/>
          <w:numId w:val="28"/>
        </w:numPr>
        <w:spacing w:after="0" w:line="240" w:lineRule="auto"/>
        <w:jc w:val="both"/>
        <w:rPr>
          <w:rFonts w:ascii="Arial" w:eastAsia="Times New Roman" w:hAnsi="Arial" w:cs="Arial"/>
          <w:bCs/>
          <w:lang w:eastAsia="cs-CZ"/>
        </w:rPr>
      </w:pPr>
      <w:r w:rsidRPr="004B6E54">
        <w:rPr>
          <w:rFonts w:ascii="Arial" w:eastAsia="Times New Roman" w:hAnsi="Arial" w:cs="Arial"/>
          <w:bCs/>
          <w:lang w:eastAsia="cs-CZ"/>
        </w:rPr>
        <w:t>Smlouva se uzavírá na dobu určitou a je jí možno ukončit pouze písemnou formou:</w:t>
      </w:r>
    </w:p>
    <w:p w:rsidR="003B3DAD" w:rsidRPr="004B6E54" w:rsidRDefault="003B3DAD" w:rsidP="003B3DAD">
      <w:pPr>
        <w:numPr>
          <w:ilvl w:val="1"/>
          <w:numId w:val="28"/>
        </w:numPr>
        <w:tabs>
          <w:tab w:val="num" w:pos="1260"/>
        </w:tabs>
        <w:spacing w:after="0" w:line="240" w:lineRule="auto"/>
        <w:jc w:val="both"/>
        <w:rPr>
          <w:rFonts w:ascii="Arial" w:eastAsia="Times New Roman" w:hAnsi="Arial" w:cs="Arial"/>
          <w:bCs/>
          <w:lang w:eastAsia="cs-CZ"/>
        </w:rPr>
      </w:pPr>
      <w:r w:rsidRPr="004B6E54">
        <w:rPr>
          <w:rFonts w:ascii="Arial" w:eastAsia="Times New Roman" w:hAnsi="Arial" w:cs="Arial"/>
          <w:bCs/>
          <w:lang w:eastAsia="cs-CZ"/>
        </w:rPr>
        <w:t>oboustrannou dohodou,</w:t>
      </w:r>
    </w:p>
    <w:p w:rsidR="003B3DAD" w:rsidRPr="004B6E54" w:rsidRDefault="003B3DAD" w:rsidP="003B3DAD">
      <w:pPr>
        <w:numPr>
          <w:ilvl w:val="1"/>
          <w:numId w:val="28"/>
        </w:numPr>
        <w:tabs>
          <w:tab w:val="num" w:pos="1260"/>
        </w:tabs>
        <w:spacing w:after="0" w:line="240" w:lineRule="auto"/>
        <w:jc w:val="both"/>
        <w:rPr>
          <w:rFonts w:ascii="Arial" w:eastAsia="Times New Roman" w:hAnsi="Arial" w:cs="Arial"/>
          <w:bCs/>
          <w:lang w:eastAsia="cs-CZ"/>
        </w:rPr>
      </w:pPr>
      <w:r w:rsidRPr="004B6E54">
        <w:rPr>
          <w:rFonts w:ascii="Arial" w:eastAsia="Times New Roman" w:hAnsi="Arial" w:cs="Arial"/>
          <w:bCs/>
          <w:lang w:eastAsia="cs-CZ"/>
        </w:rPr>
        <w:t>tříměsíční výpovědní lhůtou, která začíná běžet prvním dnem následujícího měsíce.</w:t>
      </w:r>
    </w:p>
    <w:p w:rsidR="003B3DAD" w:rsidRPr="004B6E54" w:rsidRDefault="003B3DAD" w:rsidP="003B3DAD">
      <w:pPr>
        <w:spacing w:after="0" w:line="240" w:lineRule="auto"/>
        <w:ind w:left="360"/>
        <w:jc w:val="both"/>
        <w:rPr>
          <w:rFonts w:ascii="Arial" w:eastAsia="Times New Roman" w:hAnsi="Arial" w:cs="Arial"/>
          <w:bCs/>
          <w:lang w:eastAsia="cs-CZ"/>
        </w:rPr>
      </w:pPr>
    </w:p>
    <w:p w:rsidR="003B3DAD" w:rsidRPr="004B6E54" w:rsidRDefault="003B3DAD" w:rsidP="003B3DAD">
      <w:pPr>
        <w:numPr>
          <w:ilvl w:val="0"/>
          <w:numId w:val="28"/>
        </w:numPr>
        <w:spacing w:after="0" w:line="240" w:lineRule="auto"/>
        <w:jc w:val="both"/>
        <w:rPr>
          <w:rFonts w:ascii="Arial" w:eastAsia="Times New Roman" w:hAnsi="Arial" w:cs="Arial"/>
          <w:bCs/>
          <w:lang w:eastAsia="cs-CZ"/>
        </w:rPr>
      </w:pPr>
      <w:r w:rsidRPr="004B6E54">
        <w:rPr>
          <w:rFonts w:ascii="Arial" w:eastAsia="Times New Roman" w:hAnsi="Arial" w:cs="Arial"/>
          <w:bCs/>
          <w:lang w:eastAsia="cs-CZ"/>
        </w:rPr>
        <w:t>Jakékoli změny nebo doplňky textu obchodních podmínek nebo smlouvy je možné provádět jen formou písemných dodatků, potvrzených oprávněnými zástupci smluvních stran. Součástí smluvního vztahu bude vypracování Smlouvy o pojištění vozidel a rozšířené obchodní podmínky specifikované dle nabídky uchazeče.</w:t>
      </w:r>
    </w:p>
    <w:p w:rsidR="003B3DAD" w:rsidRPr="004B6E54" w:rsidRDefault="003B3DAD" w:rsidP="003B3DAD">
      <w:pPr>
        <w:spacing w:after="0" w:line="240" w:lineRule="auto"/>
        <w:jc w:val="both"/>
        <w:rPr>
          <w:rFonts w:ascii="Arial" w:eastAsia="Times New Roman" w:hAnsi="Arial" w:cs="Arial"/>
          <w:bCs/>
          <w:lang w:eastAsia="cs-CZ"/>
        </w:rPr>
      </w:pPr>
    </w:p>
    <w:p w:rsidR="003B3DAD" w:rsidRPr="004B6E54" w:rsidRDefault="003B3DAD" w:rsidP="003B3DAD">
      <w:pPr>
        <w:numPr>
          <w:ilvl w:val="0"/>
          <w:numId w:val="28"/>
        </w:numPr>
        <w:spacing w:after="0" w:line="240" w:lineRule="auto"/>
        <w:jc w:val="both"/>
        <w:rPr>
          <w:rFonts w:ascii="Arial" w:eastAsia="Times New Roman" w:hAnsi="Arial" w:cs="Arial"/>
          <w:bCs/>
          <w:lang w:eastAsia="cs-CZ"/>
        </w:rPr>
      </w:pPr>
      <w:r w:rsidRPr="004B6E54">
        <w:rPr>
          <w:rFonts w:ascii="Arial" w:eastAsia="Times New Roman" w:hAnsi="Arial" w:cs="Arial"/>
          <w:bCs/>
          <w:lang w:eastAsia="cs-CZ"/>
        </w:rPr>
        <w:t>Práva a povinnosti smluvních stran se řídí obchodním zákoníkem a ostatními právními předpisy platnými v České republice.</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r w:rsidRPr="004B6E54">
        <w:rPr>
          <w:rFonts w:ascii="Arial" w:eastAsia="Times New Roman" w:hAnsi="Arial" w:cs="Arial"/>
          <w:b/>
          <w:bCs/>
          <w:kern w:val="32"/>
          <w:sz w:val="24"/>
          <w:szCs w:val="24"/>
          <w:lang w:eastAsia="cs-CZ"/>
        </w:rPr>
        <w:lastRenderedPageBreak/>
        <w:t>Nabídka</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Způsob zpracování nabídky</w:t>
      </w:r>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r w:rsidRPr="004B6E54">
        <w:rPr>
          <w:rFonts w:ascii="Arial" w:eastAsia="Times New Roman" w:hAnsi="Arial" w:cs="Arial"/>
          <w:bCs/>
          <w:snapToGrid w:val="0"/>
          <w:sz w:val="24"/>
          <w:szCs w:val="24"/>
          <w:lang w:eastAsia="cs-CZ"/>
        </w:rPr>
        <w:t>Nabídka se podává písemně, v uzavřené obálce opatřené na uzavřeních razítkem či podpisem uchazeče, je-li fyzickou osobou, či statutárního orgánu uchazeče, je-li právnickou osobou, označené „Pojištění motorových vozidel“, na které musí být uvedena adresa.</w:t>
      </w:r>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r w:rsidRPr="004B6E54">
        <w:rPr>
          <w:rFonts w:ascii="Arial" w:eastAsia="Times New Roman" w:hAnsi="Arial" w:cs="Arial"/>
          <w:bCs/>
          <w:snapToGrid w:val="0"/>
          <w:sz w:val="24"/>
          <w:szCs w:val="24"/>
          <w:lang w:eastAsia="cs-CZ"/>
        </w:rPr>
        <w:t>V nabídce musejí být na krycím listu uvedeny identifikační údaje o uchazeči v rozsahu uvedeném v § 17 odst. 1 písm. d) ZVZ. Nabídka musí být zpracována v českém jazyce a podepsána na krycím listu oprávněnou osobou.</w:t>
      </w:r>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r w:rsidRPr="004B6E54">
        <w:rPr>
          <w:rFonts w:ascii="Arial" w:eastAsia="Times New Roman" w:hAnsi="Arial" w:cs="Arial"/>
          <w:bCs/>
          <w:snapToGrid w:val="0"/>
          <w:sz w:val="24"/>
          <w:szCs w:val="24"/>
          <w:lang w:eastAsia="cs-CZ"/>
        </w:rPr>
        <w:t xml:space="preserve">Uchazeč je vázán svou nabídkou </w:t>
      </w:r>
      <w:r w:rsidRPr="004B6E54">
        <w:rPr>
          <w:rFonts w:ascii="Arial" w:eastAsia="Times New Roman" w:hAnsi="Arial" w:cs="Arial"/>
          <w:b/>
          <w:bCs/>
          <w:snapToGrid w:val="0"/>
          <w:sz w:val="24"/>
          <w:szCs w:val="24"/>
          <w:lang w:eastAsia="cs-CZ"/>
        </w:rPr>
        <w:t>po dobu 6 měsíců</w:t>
      </w:r>
      <w:r w:rsidRPr="004B6E54">
        <w:rPr>
          <w:rFonts w:ascii="Arial" w:eastAsia="Times New Roman" w:hAnsi="Arial" w:cs="Arial"/>
          <w:bCs/>
          <w:snapToGrid w:val="0"/>
          <w:sz w:val="24"/>
          <w:szCs w:val="24"/>
          <w:lang w:eastAsia="cs-CZ"/>
        </w:rPr>
        <w:t xml:space="preserve"> ode dne uplynutí lhůty pro podání nabídek, přičemž tato doba se prodlužuje o dobu, po kterou zadavatel není oprávněn uzavřít smlouvu a též o dobu, ve které má vybraný uchazeč poskytnout součinnost dle § 82 odst. 3 zákona.</w:t>
      </w:r>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r w:rsidRPr="004B6E54">
        <w:rPr>
          <w:rFonts w:ascii="Arial" w:eastAsia="Times New Roman" w:hAnsi="Arial" w:cs="Arial"/>
          <w:bCs/>
          <w:snapToGrid w:val="0"/>
          <w:sz w:val="24"/>
          <w:szCs w:val="24"/>
          <w:lang w:eastAsia="cs-CZ"/>
        </w:rPr>
        <w:t xml:space="preserve">Uchazeč předloží nabídku </w:t>
      </w:r>
      <w:r w:rsidRPr="004B6E54">
        <w:rPr>
          <w:rFonts w:ascii="Arial" w:eastAsia="Times New Roman" w:hAnsi="Arial" w:cs="Arial"/>
          <w:b/>
          <w:bCs/>
          <w:snapToGrid w:val="0"/>
          <w:sz w:val="24"/>
          <w:szCs w:val="24"/>
          <w:lang w:eastAsia="cs-CZ"/>
        </w:rPr>
        <w:t xml:space="preserve">v originále a </w:t>
      </w:r>
      <w:r w:rsidR="0067576F" w:rsidRPr="004B6E54">
        <w:rPr>
          <w:rFonts w:ascii="Arial" w:eastAsia="Times New Roman" w:hAnsi="Arial" w:cs="Arial"/>
          <w:b/>
          <w:bCs/>
          <w:snapToGrid w:val="0"/>
          <w:sz w:val="24"/>
          <w:szCs w:val="24"/>
          <w:lang w:eastAsia="cs-CZ"/>
        </w:rPr>
        <w:t>4</w:t>
      </w:r>
      <w:r w:rsidRPr="004B6E54">
        <w:rPr>
          <w:rFonts w:ascii="Arial" w:eastAsia="Times New Roman" w:hAnsi="Arial" w:cs="Arial"/>
          <w:b/>
          <w:bCs/>
          <w:snapToGrid w:val="0"/>
          <w:sz w:val="24"/>
          <w:szCs w:val="24"/>
          <w:lang w:eastAsia="cs-CZ"/>
        </w:rPr>
        <w:t xml:space="preserve"> ks kopií, celkem tedy v </w:t>
      </w:r>
      <w:r w:rsidR="0067576F" w:rsidRPr="004B6E54">
        <w:rPr>
          <w:rFonts w:ascii="Arial" w:eastAsia="Times New Roman" w:hAnsi="Arial" w:cs="Arial"/>
          <w:b/>
          <w:bCs/>
          <w:snapToGrid w:val="0"/>
          <w:sz w:val="24"/>
          <w:szCs w:val="24"/>
          <w:lang w:eastAsia="cs-CZ"/>
        </w:rPr>
        <w:t>5</w:t>
      </w:r>
      <w:r w:rsidRPr="004B6E54">
        <w:rPr>
          <w:rFonts w:ascii="Arial" w:eastAsia="Times New Roman" w:hAnsi="Arial" w:cs="Arial"/>
          <w:b/>
          <w:bCs/>
          <w:snapToGrid w:val="0"/>
          <w:sz w:val="24"/>
          <w:szCs w:val="24"/>
          <w:lang w:eastAsia="cs-CZ"/>
        </w:rPr>
        <w:t xml:space="preserve"> vyhotoveních</w:t>
      </w:r>
      <w:r w:rsidRPr="004B6E54">
        <w:rPr>
          <w:rFonts w:ascii="Arial" w:eastAsia="Times New Roman" w:hAnsi="Arial" w:cs="Arial"/>
          <w:bCs/>
          <w:snapToGrid w:val="0"/>
          <w:sz w:val="24"/>
          <w:szCs w:val="24"/>
          <w:lang w:eastAsia="cs-CZ"/>
        </w:rPr>
        <w:t>. Všechny listy nabídky budou navzájem pevně spojeny či sešity tak, aby byly dostatečně zabezpečeny před jejich vyjmutím z nabídky. Veškeré výtisky budou řádně čitelné, bez škrtů a přepisů. Všechny stránky nabídky, resp. jednotlivých výtisků, budou očíslovány vzestupnou kontinuální řadou; není třeba číslovat originály či úředně ověřené kopie požadovaných dokumentů.</w:t>
      </w:r>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r w:rsidRPr="004B6E54">
        <w:rPr>
          <w:rFonts w:ascii="Arial" w:eastAsia="Times New Roman" w:hAnsi="Arial" w:cs="Arial"/>
          <w:bCs/>
          <w:snapToGrid w:val="0"/>
          <w:sz w:val="24"/>
          <w:szCs w:val="24"/>
          <w:lang w:eastAsia="cs-CZ"/>
        </w:rPr>
        <w:t xml:space="preserve">Uchazeč v nabídce výslovně uvede kontaktní adresu pro písemný styk mezi uchazečem a zadavatelem. Pokud podává nabídku více dodavatelů společně (společná nabídka), uvedou v nabídce kromě kontaktní adresy dle předchozí věty též osobu, která bude zmocněna zastupovat tyto dodavatele při styku se zadavatelem v průběhu zadávacího řízení. </w:t>
      </w:r>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r w:rsidRPr="004B6E54">
        <w:rPr>
          <w:rFonts w:ascii="Arial" w:eastAsia="Times New Roman" w:hAnsi="Arial" w:cs="Arial"/>
          <w:bCs/>
          <w:snapToGrid w:val="0"/>
          <w:sz w:val="24"/>
          <w:szCs w:val="24"/>
          <w:lang w:eastAsia="cs-CZ"/>
        </w:rPr>
        <w:t>Uchazeč předloží nabídku též v elektronické podobě na CD; tato povinnost se netýká dokladů prokazujících splnění kvalifikace uchazeče. Každý uchazeč je povinen předložit návrh smlouvy v elektronické podobě ve formátu MS Office nebo formátu kompatibilním.</w:t>
      </w:r>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r w:rsidRPr="004B6E54">
        <w:rPr>
          <w:rFonts w:ascii="Arial" w:eastAsia="Times New Roman" w:hAnsi="Arial" w:cs="Arial"/>
          <w:bCs/>
          <w:snapToGrid w:val="0"/>
          <w:sz w:val="24"/>
          <w:szCs w:val="24"/>
          <w:lang w:eastAsia="cs-CZ"/>
        </w:rPr>
        <w:t>Uchazeč je povinen doručit nabídku do podatelny zadavatele, v sídle zadavatele nebo poštou na adresu zadavatele.</w:t>
      </w:r>
    </w:p>
    <w:p w:rsidR="003B3DAD" w:rsidRPr="004B6E54" w:rsidRDefault="003B3DAD" w:rsidP="003B3DAD">
      <w:pPr>
        <w:keepNext/>
        <w:numPr>
          <w:ilvl w:val="2"/>
          <w:numId w:val="3"/>
        </w:numPr>
        <w:spacing w:before="240" w:after="60" w:line="240" w:lineRule="auto"/>
        <w:jc w:val="both"/>
        <w:outlineLvl w:val="2"/>
        <w:rPr>
          <w:rFonts w:ascii="Arial" w:eastAsia="Times New Roman" w:hAnsi="Arial" w:cs="Arial"/>
          <w:bCs/>
          <w:snapToGrid w:val="0"/>
          <w:sz w:val="24"/>
          <w:szCs w:val="24"/>
          <w:lang w:eastAsia="cs-CZ"/>
        </w:rPr>
      </w:pPr>
      <w:bookmarkStart w:id="75" w:name="_Ref98634256"/>
      <w:r w:rsidRPr="004B6E54">
        <w:rPr>
          <w:rFonts w:ascii="Arial" w:eastAsia="Times New Roman" w:hAnsi="Arial" w:cs="Arial"/>
          <w:bCs/>
          <w:snapToGrid w:val="0"/>
          <w:sz w:val="24"/>
          <w:szCs w:val="24"/>
          <w:lang w:eastAsia="cs-CZ"/>
        </w:rPr>
        <w:t>Nabídka musí být předložena v následující struktuře:</w:t>
      </w:r>
      <w:bookmarkEnd w:id="75"/>
    </w:p>
    <w:p w:rsidR="003B3DAD" w:rsidRPr="004B6E54" w:rsidRDefault="003B3DAD" w:rsidP="003B3DAD">
      <w:pPr>
        <w:numPr>
          <w:ilvl w:val="0"/>
          <w:numId w:val="6"/>
        </w:numPr>
        <w:spacing w:after="120" w:line="280" w:lineRule="atLeast"/>
        <w:jc w:val="both"/>
        <w:rPr>
          <w:rFonts w:ascii="Arial" w:eastAsia="Times New Roman" w:hAnsi="Arial" w:cs="Arial"/>
          <w:sz w:val="24"/>
          <w:szCs w:val="24"/>
          <w:lang w:eastAsia="cs-CZ"/>
        </w:rPr>
      </w:pPr>
      <w:r w:rsidRPr="004B6E54">
        <w:rPr>
          <w:rFonts w:ascii="Arial" w:eastAsia="Times New Roman" w:hAnsi="Arial" w:cs="Arial"/>
          <w:b/>
          <w:sz w:val="24"/>
          <w:szCs w:val="24"/>
          <w:lang w:eastAsia="cs-CZ"/>
        </w:rPr>
        <w:t>Krycí list nabídky</w:t>
      </w:r>
      <w:r w:rsidRPr="004B6E54">
        <w:rPr>
          <w:rFonts w:ascii="Arial" w:eastAsia="Times New Roman" w:hAnsi="Arial" w:cs="Arial"/>
          <w:sz w:val="24"/>
          <w:szCs w:val="24"/>
          <w:lang w:eastAsia="cs-CZ"/>
        </w:rPr>
        <w:t>, na kterém budou uvedeny identifikační a kontaktní údaje o uchazeči (obchodní firmu/jméno uchazeče, sídlo uchazeče, úplnou adresu uchazeče pro poštovní styk, jméno zaměstnance pověřeného věcným jednáním ohledně této veřejné zakázky, IČ, DIČ, telefon, fax, e-mail) a celková nabídková cena</w:t>
      </w:r>
      <w:r w:rsidRPr="004B6E54">
        <w:rPr>
          <w:rFonts w:ascii="Arial" w:eastAsia="Times New Roman" w:hAnsi="Arial" w:cs="Arial"/>
          <w:color w:val="FF0000"/>
          <w:sz w:val="24"/>
          <w:szCs w:val="24"/>
          <w:lang w:eastAsia="cs-CZ"/>
        </w:rPr>
        <w:t>.</w:t>
      </w:r>
    </w:p>
    <w:p w:rsidR="003B3DAD" w:rsidRPr="004B6E54" w:rsidRDefault="003B3DAD" w:rsidP="003B3DAD">
      <w:pPr>
        <w:numPr>
          <w:ilvl w:val="0"/>
          <w:numId w:val="6"/>
        </w:numPr>
        <w:spacing w:after="120" w:line="280" w:lineRule="atLeast"/>
        <w:jc w:val="both"/>
        <w:rPr>
          <w:rFonts w:ascii="Arial" w:eastAsia="Times New Roman" w:hAnsi="Arial" w:cs="Arial"/>
          <w:sz w:val="24"/>
          <w:szCs w:val="24"/>
          <w:lang w:eastAsia="cs-CZ"/>
        </w:rPr>
      </w:pPr>
      <w:r w:rsidRPr="004B6E54">
        <w:rPr>
          <w:rFonts w:ascii="Arial" w:eastAsia="Times New Roman" w:hAnsi="Arial" w:cs="Arial"/>
          <w:b/>
          <w:sz w:val="24"/>
          <w:szCs w:val="24"/>
          <w:lang w:eastAsia="cs-CZ"/>
        </w:rPr>
        <w:t xml:space="preserve">Návrh smlouvy </w:t>
      </w:r>
      <w:r w:rsidRPr="004B6E54">
        <w:rPr>
          <w:rFonts w:ascii="Arial" w:eastAsia="Times New Roman" w:hAnsi="Arial" w:cs="Arial"/>
          <w:sz w:val="24"/>
          <w:szCs w:val="24"/>
          <w:lang w:eastAsia="cs-CZ"/>
        </w:rPr>
        <w:t>obsahující mimo jiné:</w:t>
      </w:r>
    </w:p>
    <w:p w:rsidR="003B3DAD" w:rsidRPr="004B6E54" w:rsidRDefault="003B3DAD" w:rsidP="003B3DAD">
      <w:pPr>
        <w:numPr>
          <w:ilvl w:val="0"/>
          <w:numId w:val="6"/>
        </w:numPr>
        <w:spacing w:after="120" w:line="280" w:lineRule="atLeast"/>
        <w:jc w:val="both"/>
        <w:rPr>
          <w:rFonts w:ascii="Arial" w:eastAsia="Times New Roman" w:hAnsi="Arial" w:cs="Arial"/>
          <w:sz w:val="24"/>
          <w:szCs w:val="24"/>
          <w:lang w:eastAsia="cs-CZ"/>
        </w:rPr>
      </w:pPr>
      <w:r w:rsidRPr="004B6E54">
        <w:rPr>
          <w:rFonts w:ascii="Arial" w:eastAsia="Times New Roman" w:hAnsi="Arial" w:cs="Arial"/>
          <w:b/>
          <w:sz w:val="24"/>
          <w:szCs w:val="24"/>
          <w:lang w:eastAsia="cs-CZ"/>
        </w:rPr>
        <w:t>Nabídková cena</w:t>
      </w:r>
      <w:r w:rsidRPr="004B6E54">
        <w:rPr>
          <w:rFonts w:ascii="Arial" w:eastAsia="Times New Roman" w:hAnsi="Arial" w:cs="Arial"/>
          <w:sz w:val="24"/>
          <w:szCs w:val="24"/>
          <w:lang w:eastAsia="cs-CZ"/>
        </w:rPr>
        <w:t xml:space="preserve"> – uvedení cenové nabídky za poskytnutí služeb</w:t>
      </w:r>
    </w:p>
    <w:p w:rsidR="003B3DAD" w:rsidRPr="004B6E54" w:rsidRDefault="003B3DAD" w:rsidP="003B3DAD">
      <w:pPr>
        <w:numPr>
          <w:ilvl w:val="0"/>
          <w:numId w:val="6"/>
        </w:numPr>
        <w:spacing w:after="120" w:line="280" w:lineRule="atLeast"/>
        <w:jc w:val="both"/>
        <w:rPr>
          <w:rFonts w:ascii="Arial" w:eastAsia="Times New Roman" w:hAnsi="Arial" w:cs="Arial"/>
          <w:b/>
          <w:sz w:val="24"/>
          <w:szCs w:val="24"/>
          <w:lang w:eastAsia="cs-CZ"/>
        </w:rPr>
      </w:pPr>
      <w:r w:rsidRPr="004B6E54">
        <w:rPr>
          <w:rFonts w:ascii="Arial" w:eastAsia="Times New Roman" w:hAnsi="Arial" w:cs="Arial"/>
          <w:b/>
          <w:sz w:val="24"/>
          <w:szCs w:val="24"/>
          <w:lang w:eastAsia="cs-CZ"/>
        </w:rPr>
        <w:t>Doklady prokazující splnění kvalifikace.</w:t>
      </w:r>
    </w:p>
    <w:p w:rsidR="003B3DAD" w:rsidRPr="004B6E54" w:rsidRDefault="003B3DAD" w:rsidP="003B3DAD">
      <w:pPr>
        <w:widowControl w:val="0"/>
        <w:numPr>
          <w:ilvl w:val="0"/>
          <w:numId w:val="6"/>
        </w:numPr>
        <w:spacing w:after="120" w:line="280" w:lineRule="atLeast"/>
        <w:jc w:val="both"/>
        <w:rPr>
          <w:rFonts w:ascii="Arial" w:eastAsia="Times New Roman" w:hAnsi="Arial" w:cs="Arial"/>
          <w:sz w:val="24"/>
          <w:szCs w:val="24"/>
          <w:lang w:eastAsia="cs-CZ"/>
        </w:rPr>
      </w:pPr>
      <w:r w:rsidRPr="004B6E54">
        <w:rPr>
          <w:rFonts w:ascii="Arial" w:eastAsia="Times New Roman" w:hAnsi="Arial" w:cs="Arial"/>
          <w:b/>
          <w:sz w:val="24"/>
          <w:szCs w:val="24"/>
          <w:lang w:eastAsia="cs-CZ"/>
        </w:rPr>
        <w:lastRenderedPageBreak/>
        <w:t>Ostatní.</w:t>
      </w:r>
    </w:p>
    <w:p w:rsidR="003B3DAD" w:rsidRPr="004B6E54" w:rsidRDefault="003B3DAD" w:rsidP="003B3DAD">
      <w:pPr>
        <w:widowControl w:val="0"/>
        <w:spacing w:after="120" w:line="280" w:lineRule="atLeast"/>
        <w:ind w:left="709"/>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Každá výše uvedená část nabídky bude od ostatních zřetelně oddělena (např. barevným nebo číselným rozřaďovačem) v uvedeném pořadí.</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r w:rsidRPr="004B6E54">
        <w:rPr>
          <w:rFonts w:ascii="Arial" w:eastAsia="Times New Roman" w:hAnsi="Arial" w:cs="Arial"/>
          <w:b/>
          <w:bCs/>
          <w:kern w:val="32"/>
          <w:sz w:val="24"/>
          <w:szCs w:val="24"/>
          <w:lang w:eastAsia="cs-CZ"/>
        </w:rPr>
        <w:t>Otevírání obálek s nabídkami</w:t>
      </w: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Otevírání obálek se uskuteční </w:t>
      </w:r>
      <w:r w:rsidR="0067576F" w:rsidRPr="004B6E54">
        <w:rPr>
          <w:rFonts w:ascii="Arial" w:eastAsia="Times New Roman" w:hAnsi="Arial" w:cs="Arial"/>
          <w:b/>
          <w:sz w:val="24"/>
          <w:szCs w:val="24"/>
          <w:lang w:eastAsia="cs-CZ"/>
        </w:rPr>
        <w:t xml:space="preserve">dne </w:t>
      </w:r>
      <w:r w:rsidR="00B0760C">
        <w:rPr>
          <w:rFonts w:ascii="Arial" w:eastAsia="Times New Roman" w:hAnsi="Arial" w:cs="Arial"/>
          <w:b/>
          <w:sz w:val="24"/>
          <w:szCs w:val="24"/>
          <w:lang w:eastAsia="cs-CZ"/>
        </w:rPr>
        <w:t>23</w:t>
      </w:r>
      <w:r w:rsidR="00EC66DC" w:rsidRPr="004B6E54">
        <w:rPr>
          <w:rFonts w:ascii="Arial" w:eastAsia="Times New Roman" w:hAnsi="Arial" w:cs="Arial"/>
          <w:b/>
          <w:sz w:val="24"/>
          <w:szCs w:val="24"/>
          <w:lang w:eastAsia="cs-CZ"/>
        </w:rPr>
        <w:t>.</w:t>
      </w:r>
      <w:r w:rsidR="0067576F" w:rsidRPr="004B6E54">
        <w:rPr>
          <w:rFonts w:ascii="Arial" w:eastAsia="Times New Roman" w:hAnsi="Arial" w:cs="Arial"/>
          <w:b/>
          <w:sz w:val="24"/>
          <w:szCs w:val="24"/>
          <w:lang w:eastAsia="cs-CZ"/>
        </w:rPr>
        <w:t xml:space="preserve"> 11. 2011</w:t>
      </w:r>
      <w:r w:rsidR="00EC66DC" w:rsidRPr="004B6E54">
        <w:rPr>
          <w:rFonts w:ascii="Arial" w:eastAsia="Times New Roman" w:hAnsi="Arial" w:cs="Arial"/>
          <w:b/>
          <w:sz w:val="24"/>
          <w:szCs w:val="24"/>
          <w:lang w:eastAsia="cs-CZ"/>
        </w:rPr>
        <w:t xml:space="preserve"> v 12.3</w:t>
      </w:r>
      <w:r w:rsidR="0067576F" w:rsidRPr="004B6E54">
        <w:rPr>
          <w:rFonts w:ascii="Arial" w:eastAsia="Times New Roman" w:hAnsi="Arial" w:cs="Arial"/>
          <w:b/>
          <w:sz w:val="24"/>
          <w:szCs w:val="24"/>
          <w:lang w:eastAsia="cs-CZ"/>
        </w:rPr>
        <w:t>0 hod.</w:t>
      </w:r>
      <w:r w:rsidRPr="004B6E54">
        <w:rPr>
          <w:rFonts w:ascii="Arial" w:eastAsia="Times New Roman" w:hAnsi="Arial" w:cs="Arial"/>
          <w:sz w:val="24"/>
          <w:szCs w:val="24"/>
          <w:lang w:eastAsia="cs-CZ"/>
        </w:rPr>
        <w:t xml:space="preserve"> v sídle zadavatele. </w:t>
      </w: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Otevírání obálek se mají právo zúčastnit kromě hodnotící komise a zástupců zadavatele i uchazeči, jejichž nabídky byly doručeny ve lhůtě k podání nabídek. Zástupci uchazečů přítomni na otevírání obálek se musí prokázat příslušným pověřením (plnou mocí). Každý uchazeč může být zastoupen nejvýše 1 osobou.</w:t>
      </w: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Hodnotící komise bude otevírat obálky postupně podle pořadového čísla přiděleného dle času doručení a bude kontrolovat, zda je nabídka zpracována v požadovaném jazyku, je podepsaná oprávněnou osobou a je z hlediska požadovaného obsahu úplná. Pokud nabídka nebude splňovat výše uvedené požadavky, bude na místě vyřazena a zadavatel bezodkladně vyloučí uchazeče, jehož nabídka byla vyřazena, z další účasti v otevřeném řízení.</w:t>
      </w: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Po provedení kontroly sdělí hodnotící komise účastníkům identifikační údaje uchazeče (obchodní firmu, sídlo)</w:t>
      </w:r>
      <w:r w:rsidR="0067576F" w:rsidRPr="004B6E54">
        <w:rPr>
          <w:rFonts w:ascii="Arial" w:eastAsia="Times New Roman" w:hAnsi="Arial" w:cs="Arial"/>
          <w:sz w:val="24"/>
          <w:szCs w:val="24"/>
          <w:lang w:eastAsia="cs-CZ"/>
        </w:rPr>
        <w:t>, nabídkovou cenu</w:t>
      </w:r>
      <w:r w:rsidRPr="004B6E54">
        <w:rPr>
          <w:rFonts w:ascii="Arial" w:eastAsia="Times New Roman" w:hAnsi="Arial" w:cs="Arial"/>
          <w:sz w:val="24"/>
          <w:szCs w:val="24"/>
          <w:lang w:eastAsia="cs-CZ"/>
        </w:rPr>
        <w:t xml:space="preserve"> a informaci, zda nabídka splňuje požadavky, které jsou předmětem kontroly. Další obsah nabídky nebude sdělen.</w:t>
      </w:r>
    </w:p>
    <w:p w:rsidR="003B3DAD" w:rsidRPr="004B6E54" w:rsidRDefault="003B3DAD" w:rsidP="0067576F">
      <w:pPr>
        <w:tabs>
          <w:tab w:val="num" w:pos="432"/>
        </w:tabs>
        <w:spacing w:after="0" w:line="240" w:lineRule="auto"/>
        <w:jc w:val="both"/>
        <w:rPr>
          <w:rFonts w:ascii="Arial" w:eastAsia="Times New Roman" w:hAnsi="Arial" w:cs="Arial"/>
          <w:b/>
          <w:bCs/>
          <w:kern w:val="32"/>
          <w:sz w:val="24"/>
          <w:szCs w:val="24"/>
          <w:lang w:eastAsia="cs-CZ"/>
        </w:rPr>
      </w:pPr>
      <w:r w:rsidRPr="004B6E54">
        <w:rPr>
          <w:rFonts w:ascii="Arial" w:eastAsia="Times New Roman" w:hAnsi="Arial" w:cs="Arial"/>
          <w:sz w:val="24"/>
          <w:szCs w:val="24"/>
          <w:lang w:eastAsia="cs-CZ"/>
        </w:rPr>
        <w:t>O otevírání obálek bude sepsán protokol, ve kterém budou u každé nabídky uvedeny identifikační údaje (obchodní firma, sídlo, právní forma, identifikační číslo a daňové identifikační číslo, byla-li přidělena), informace, zda nabídka vyhověla všem požadavkům, které jsou předmětem kontroly. Příslušná část protokolu o otevírání obálek s</w:t>
      </w:r>
      <w:bookmarkStart w:id="76" w:name="_GoBack"/>
      <w:r w:rsidRPr="004B6E54">
        <w:rPr>
          <w:rFonts w:ascii="Arial" w:eastAsia="Times New Roman" w:hAnsi="Arial" w:cs="Arial"/>
          <w:sz w:val="24"/>
          <w:szCs w:val="24"/>
          <w:lang w:eastAsia="cs-CZ"/>
        </w:rPr>
        <w:t>e účastníkům přeč</w:t>
      </w:r>
      <w:r w:rsidR="0067576F" w:rsidRPr="004B6E54">
        <w:rPr>
          <w:rFonts w:ascii="Arial" w:eastAsia="Times New Roman" w:hAnsi="Arial" w:cs="Arial"/>
          <w:sz w:val="24"/>
          <w:szCs w:val="24"/>
          <w:lang w:eastAsia="cs-CZ"/>
        </w:rPr>
        <w:t>te před otevřením další obálky.</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r w:rsidRPr="004B6E54">
        <w:rPr>
          <w:rFonts w:ascii="Arial" w:eastAsia="Times New Roman" w:hAnsi="Arial" w:cs="Arial"/>
          <w:b/>
          <w:bCs/>
          <w:kern w:val="32"/>
          <w:sz w:val="24"/>
          <w:szCs w:val="24"/>
          <w:lang w:eastAsia="cs-CZ"/>
        </w:rPr>
        <w:t>Hodnocení</w:t>
      </w:r>
    </w:p>
    <w:bookmarkEnd w:id="76"/>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Způsob posouzení nabídek</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Posouzení a hodnocení nabídek bude provedeno podle § </w:t>
      </w:r>
      <w:smartTag w:uri="urn:schemas-microsoft-com:office:smarttags" w:element="metricconverter">
        <w:smartTagPr>
          <w:attr w:name="ProductID" w:val="76 a"/>
        </w:smartTagPr>
        <w:r w:rsidRPr="004B6E54">
          <w:rPr>
            <w:rFonts w:ascii="Arial" w:eastAsia="Times New Roman" w:hAnsi="Arial" w:cs="Arial"/>
            <w:sz w:val="24"/>
            <w:szCs w:val="24"/>
            <w:lang w:eastAsia="cs-CZ"/>
          </w:rPr>
          <w:t>76 a</w:t>
        </w:r>
      </w:smartTag>
      <w:r w:rsidRPr="004B6E54">
        <w:rPr>
          <w:rFonts w:ascii="Arial" w:eastAsia="Times New Roman" w:hAnsi="Arial" w:cs="Arial"/>
          <w:sz w:val="24"/>
          <w:szCs w:val="24"/>
          <w:lang w:eastAsia="cs-CZ"/>
        </w:rPr>
        <w:t xml:space="preserve"> násl. zákona podle kritéria ekonomické výhodnosti nabídky. </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Kritéria pro přidělení zakázky:</w:t>
      </w: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Zadavatele stanovil následující kritéria pro hodnocení nabídek:</w:t>
      </w:r>
    </w:p>
    <w:p w:rsidR="003B3DAD" w:rsidRPr="004B6E54" w:rsidRDefault="003B3DAD" w:rsidP="003B3DAD">
      <w:pPr>
        <w:widowControl w:val="0"/>
        <w:autoSpaceDE w:val="0"/>
        <w:autoSpaceDN w:val="0"/>
        <w:adjustRightInd w:val="0"/>
        <w:spacing w:before="120" w:after="0" w:line="240" w:lineRule="auto"/>
        <w:jc w:val="both"/>
        <w:rPr>
          <w:rFonts w:ascii="Arial" w:eastAsia="Times New Roman" w:hAnsi="Arial" w:cs="Arial"/>
          <w:b/>
          <w:sz w:val="24"/>
          <w:szCs w:val="24"/>
          <w:lang w:eastAsia="cs-CZ"/>
        </w:rPr>
      </w:pPr>
      <w:r w:rsidRPr="004B6E54">
        <w:rPr>
          <w:rFonts w:ascii="Arial" w:eastAsia="Times New Roman" w:hAnsi="Arial" w:cs="Arial"/>
          <w:b/>
          <w:sz w:val="24"/>
          <w:szCs w:val="24"/>
          <w:lang w:eastAsia="cs-CZ"/>
        </w:rPr>
        <w:t>Cena pojišťovacích služeb – 70 % (číselné kritérium)</w:t>
      </w:r>
    </w:p>
    <w:p w:rsidR="003B3DAD" w:rsidRPr="004B6E54" w:rsidRDefault="003B3DAD" w:rsidP="003B3DAD">
      <w:pPr>
        <w:widowControl w:val="0"/>
        <w:numPr>
          <w:ilvl w:val="0"/>
          <w:numId w:val="1"/>
        </w:numPr>
        <w:autoSpaceDE w:val="0"/>
        <w:autoSpaceDN w:val="0"/>
        <w:adjustRightInd w:val="0"/>
        <w:spacing w:before="120"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Nejlépe bude hodnocena nabídka s nejnižší nabídkovou cenou bez DPH. Ostatní nabídky obdrží počet bodů podle vzorce:</w:t>
      </w:r>
    </w:p>
    <w:p w:rsidR="003B3DAD" w:rsidRPr="004B6E54" w:rsidRDefault="003B3DAD" w:rsidP="003B3DAD">
      <w:pPr>
        <w:widowControl w:val="0"/>
        <w:autoSpaceDE w:val="0"/>
        <w:autoSpaceDN w:val="0"/>
        <w:adjustRightInd w:val="0"/>
        <w:spacing w:before="120" w:after="0" w:line="240" w:lineRule="auto"/>
        <w:ind w:left="360"/>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                        nejvýhodnější nabídka</w:t>
      </w:r>
    </w:p>
    <w:p w:rsidR="003B3DAD" w:rsidRPr="004B6E54" w:rsidRDefault="003B3DAD" w:rsidP="003B3DAD">
      <w:pPr>
        <w:widowControl w:val="0"/>
        <w:autoSpaceDE w:val="0"/>
        <w:autoSpaceDN w:val="0"/>
        <w:adjustRightInd w:val="0"/>
        <w:spacing w:before="120" w:after="0" w:line="240" w:lineRule="auto"/>
        <w:ind w:left="360"/>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Počet bodů = ------------------------------ x 70</w:t>
      </w:r>
    </w:p>
    <w:p w:rsidR="003B3DAD" w:rsidRPr="004B6E54" w:rsidRDefault="003B3DAD" w:rsidP="003B3DAD">
      <w:pPr>
        <w:widowControl w:val="0"/>
        <w:autoSpaceDE w:val="0"/>
        <w:autoSpaceDN w:val="0"/>
        <w:adjustRightInd w:val="0"/>
        <w:spacing w:before="120" w:after="0" w:line="240" w:lineRule="auto"/>
        <w:ind w:left="360"/>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                          hodnocená nabídka </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b/>
          <w:sz w:val="24"/>
          <w:szCs w:val="24"/>
          <w:lang w:eastAsia="cs-CZ"/>
        </w:rPr>
      </w:pPr>
      <w:r w:rsidRPr="004B6E54">
        <w:rPr>
          <w:rFonts w:ascii="Arial" w:eastAsia="Times New Roman" w:hAnsi="Arial" w:cs="Arial"/>
          <w:b/>
          <w:sz w:val="24"/>
          <w:szCs w:val="24"/>
          <w:lang w:eastAsia="cs-CZ"/>
        </w:rPr>
        <w:lastRenderedPageBreak/>
        <w:t>Způsob zajištění operativnosti plnění a způsob likvidace pojistných událostí</w:t>
      </w:r>
      <w:r w:rsidR="0067576F" w:rsidRPr="004B6E54">
        <w:rPr>
          <w:rFonts w:ascii="Arial" w:eastAsia="Times New Roman" w:hAnsi="Arial" w:cs="Arial"/>
          <w:b/>
          <w:sz w:val="24"/>
          <w:szCs w:val="24"/>
          <w:lang w:eastAsia="cs-CZ"/>
        </w:rPr>
        <w:t xml:space="preserve"> – 3</w:t>
      </w:r>
      <w:r w:rsidRPr="004B6E54">
        <w:rPr>
          <w:rFonts w:ascii="Arial" w:eastAsia="Times New Roman" w:hAnsi="Arial" w:cs="Arial"/>
          <w:b/>
          <w:sz w:val="24"/>
          <w:szCs w:val="24"/>
          <w:lang w:eastAsia="cs-CZ"/>
        </w:rPr>
        <w:t>0 % (slovní kritérium)</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Uchazeč ve své nabídce navrhne způsob zajištění operativnosti plnění a způsob likvidace pojistných událostí v maximálním rozsahu </w:t>
      </w:r>
      <w:r w:rsidR="00EC66DC" w:rsidRPr="004B6E54">
        <w:rPr>
          <w:rFonts w:ascii="Arial" w:eastAsia="Times New Roman" w:hAnsi="Arial" w:cs="Arial"/>
          <w:sz w:val="24"/>
          <w:szCs w:val="24"/>
          <w:lang w:eastAsia="cs-CZ"/>
        </w:rPr>
        <w:t>pěti</w:t>
      </w:r>
      <w:r w:rsidRPr="004B6E54">
        <w:rPr>
          <w:rFonts w:ascii="Arial" w:eastAsia="Times New Roman" w:hAnsi="Arial" w:cs="Arial"/>
          <w:sz w:val="24"/>
          <w:szCs w:val="24"/>
          <w:lang w:eastAsia="cs-CZ"/>
        </w:rPr>
        <w:t xml:space="preserve"> normostran formátu A4 (1800 znaků na stránku).</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V popisu způsobu zajištění musí uchazeč uvést:</w:t>
      </w:r>
    </w:p>
    <w:p w:rsidR="003B3DAD" w:rsidRPr="004B6E54" w:rsidRDefault="003B3DAD" w:rsidP="003B3DAD">
      <w:pPr>
        <w:widowControl w:val="0"/>
        <w:numPr>
          <w:ilvl w:val="0"/>
          <w:numId w:val="1"/>
        </w:numPr>
        <w:autoSpaceDE w:val="0"/>
        <w:autoSpaceDN w:val="0"/>
        <w:adjustRightInd w:val="0"/>
        <w:spacing w:after="0" w:line="240" w:lineRule="auto"/>
        <w:contextualSpacing/>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rychlost poukázání pojistného pojistiteli (uchazeč uvede příslušnou do poukázání pojistného plnění ve dnech, jednotkou je jeden pracovní den) – váha subkritéria 50%</w:t>
      </w:r>
    </w:p>
    <w:p w:rsidR="003B3DAD" w:rsidRPr="004B6E54" w:rsidRDefault="003B3DAD" w:rsidP="003B3DAD">
      <w:pPr>
        <w:widowControl w:val="0"/>
        <w:numPr>
          <w:ilvl w:val="0"/>
          <w:numId w:val="1"/>
        </w:numPr>
        <w:autoSpaceDE w:val="0"/>
        <w:autoSpaceDN w:val="0"/>
        <w:adjustRightInd w:val="0"/>
        <w:spacing w:after="0" w:line="240" w:lineRule="auto"/>
        <w:contextualSpacing/>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systém likvidace pojistných událostí – bezpečnost, kontrola zadavatele, schvalovací procedura – váha subkritéria 50%</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Hodnotící komise provede hodnocení tohoto kritéria samostatně pro každé dílčí kritérium. Hodnotící komise seřadí nabídky podle výhodnosti nabídnutých podmínek pro zadavatele od nejvýhodnější k nejméně výhodné. V každém dílčím kritériu hodnotící komise přidělí nejvýhodnější nabídce 100 bodů a každé další nabídce sestupně počet bodů rovnajících se 100 – podíl 100 a počet hodnocených nabídek. Hodnotící komise je oprávněna neobsadit některé pořadí v případě, kdy považuje nabídky v určitém dílčím kritériu za srovnatelné. </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 Udělené body</w:t>
      </w:r>
      <w:r w:rsidR="004B6E54" w:rsidRPr="004B6E54">
        <w:rPr>
          <w:rFonts w:ascii="Arial" w:eastAsia="Times New Roman" w:hAnsi="Arial" w:cs="Arial"/>
          <w:sz w:val="24"/>
          <w:szCs w:val="24"/>
          <w:lang w:eastAsia="cs-CZ"/>
        </w:rPr>
        <w:t xml:space="preserve"> za jednotlivá subkritéria</w:t>
      </w:r>
      <w:r w:rsidRPr="004B6E54">
        <w:rPr>
          <w:rFonts w:ascii="Arial" w:eastAsia="Times New Roman" w:hAnsi="Arial" w:cs="Arial"/>
          <w:sz w:val="24"/>
          <w:szCs w:val="24"/>
          <w:lang w:eastAsia="cs-CZ"/>
        </w:rPr>
        <w:t xml:space="preserve"> budou</w:t>
      </w:r>
      <w:r w:rsidR="004B6E54" w:rsidRPr="004B6E54">
        <w:rPr>
          <w:rFonts w:ascii="Arial" w:eastAsia="Times New Roman" w:hAnsi="Arial" w:cs="Arial"/>
          <w:sz w:val="24"/>
          <w:szCs w:val="24"/>
          <w:lang w:eastAsia="cs-CZ"/>
        </w:rPr>
        <w:t xml:space="preserve"> sečteny a</w:t>
      </w:r>
      <w:r w:rsidRPr="004B6E54">
        <w:rPr>
          <w:rFonts w:ascii="Arial" w:eastAsia="Times New Roman" w:hAnsi="Arial" w:cs="Arial"/>
          <w:sz w:val="24"/>
          <w:szCs w:val="24"/>
          <w:lang w:eastAsia="cs-CZ"/>
        </w:rPr>
        <w:t xml:space="preserve"> zváženy podle vzorce:</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b/>
          <w:sz w:val="24"/>
          <w:szCs w:val="24"/>
          <w:lang w:eastAsia="cs-CZ"/>
        </w:rPr>
      </w:pPr>
      <w:r w:rsidRPr="004B6E54">
        <w:rPr>
          <w:rFonts w:ascii="Arial" w:eastAsia="Times New Roman" w:hAnsi="Arial" w:cs="Arial"/>
          <w:b/>
          <w:sz w:val="24"/>
          <w:szCs w:val="24"/>
          <w:lang w:eastAsia="cs-CZ"/>
        </w:rPr>
        <w:tab/>
      </w:r>
      <w:r w:rsidRPr="004B6E54">
        <w:rPr>
          <w:rFonts w:ascii="Arial" w:eastAsia="Times New Roman" w:hAnsi="Arial" w:cs="Arial"/>
          <w:b/>
          <w:sz w:val="24"/>
          <w:szCs w:val="24"/>
          <w:lang w:eastAsia="cs-CZ"/>
        </w:rPr>
        <w:tab/>
      </w:r>
      <w:r w:rsidRPr="004B6E54">
        <w:rPr>
          <w:rFonts w:ascii="Arial" w:eastAsia="Times New Roman" w:hAnsi="Arial" w:cs="Arial"/>
          <w:b/>
          <w:sz w:val="24"/>
          <w:szCs w:val="24"/>
          <w:lang w:eastAsia="cs-CZ"/>
        </w:rPr>
        <w:tab/>
      </w:r>
      <w:r w:rsidRPr="004B6E54">
        <w:rPr>
          <w:rFonts w:ascii="Arial" w:eastAsia="Times New Roman" w:hAnsi="Arial" w:cs="Arial"/>
          <w:b/>
          <w:sz w:val="24"/>
          <w:szCs w:val="24"/>
          <w:lang w:eastAsia="cs-CZ"/>
        </w:rPr>
        <w:tab/>
        <w:t xml:space="preserve">Počet bodů hodnocené nabídky </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b/>
          <w:sz w:val="24"/>
          <w:szCs w:val="24"/>
          <w:lang w:eastAsia="cs-CZ"/>
        </w:rPr>
      </w:pPr>
      <w:r w:rsidRPr="004B6E54">
        <w:rPr>
          <w:rFonts w:ascii="Arial" w:eastAsia="Times New Roman" w:hAnsi="Arial" w:cs="Arial"/>
          <w:b/>
          <w:sz w:val="24"/>
          <w:szCs w:val="24"/>
          <w:lang w:eastAsia="cs-CZ"/>
        </w:rPr>
        <w:t xml:space="preserve">                              ------------------------</w:t>
      </w:r>
      <w:r w:rsidR="0067576F" w:rsidRPr="004B6E54">
        <w:rPr>
          <w:rFonts w:ascii="Arial" w:eastAsia="Times New Roman" w:hAnsi="Arial" w:cs="Arial"/>
          <w:b/>
          <w:sz w:val="24"/>
          <w:szCs w:val="24"/>
          <w:lang w:eastAsia="cs-CZ"/>
        </w:rPr>
        <w:t>------------------------    x  3</w:t>
      </w:r>
      <w:r w:rsidRPr="004B6E54">
        <w:rPr>
          <w:rFonts w:ascii="Arial" w:eastAsia="Times New Roman" w:hAnsi="Arial" w:cs="Arial"/>
          <w:b/>
          <w:sz w:val="24"/>
          <w:szCs w:val="24"/>
          <w:lang w:eastAsia="cs-CZ"/>
        </w:rPr>
        <w:t>0</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b/>
          <w:sz w:val="24"/>
          <w:szCs w:val="24"/>
          <w:lang w:eastAsia="cs-CZ"/>
        </w:rPr>
      </w:pPr>
      <w:r w:rsidRPr="004B6E54">
        <w:rPr>
          <w:rFonts w:ascii="Arial" w:eastAsia="Times New Roman" w:hAnsi="Arial" w:cs="Arial"/>
          <w:b/>
          <w:sz w:val="24"/>
          <w:szCs w:val="24"/>
          <w:lang w:eastAsia="cs-CZ"/>
        </w:rPr>
        <w:t xml:space="preserve">             </w:t>
      </w:r>
      <w:r w:rsidRPr="004B6E54">
        <w:rPr>
          <w:rFonts w:ascii="Arial" w:eastAsia="Times New Roman" w:hAnsi="Arial" w:cs="Arial"/>
          <w:b/>
          <w:sz w:val="24"/>
          <w:szCs w:val="24"/>
          <w:lang w:eastAsia="cs-CZ"/>
        </w:rPr>
        <w:tab/>
      </w:r>
      <w:r w:rsidRPr="004B6E54">
        <w:rPr>
          <w:rFonts w:ascii="Arial" w:eastAsia="Times New Roman" w:hAnsi="Arial" w:cs="Arial"/>
          <w:b/>
          <w:sz w:val="24"/>
          <w:szCs w:val="24"/>
          <w:lang w:eastAsia="cs-CZ"/>
        </w:rPr>
        <w:tab/>
      </w:r>
      <w:r w:rsidRPr="004B6E54">
        <w:rPr>
          <w:rFonts w:ascii="Arial" w:eastAsia="Times New Roman" w:hAnsi="Arial" w:cs="Arial"/>
          <w:b/>
          <w:sz w:val="24"/>
          <w:szCs w:val="24"/>
          <w:lang w:eastAsia="cs-CZ"/>
        </w:rPr>
        <w:tab/>
      </w:r>
      <w:r w:rsidRPr="004B6E54">
        <w:rPr>
          <w:rFonts w:ascii="Arial" w:eastAsia="Times New Roman" w:hAnsi="Arial" w:cs="Arial"/>
          <w:b/>
          <w:sz w:val="24"/>
          <w:szCs w:val="24"/>
          <w:lang w:eastAsia="cs-CZ"/>
        </w:rPr>
        <w:tab/>
        <w:t>200</w:t>
      </w:r>
    </w:p>
    <w:p w:rsidR="003B3DAD" w:rsidRPr="004B6E54" w:rsidRDefault="003B3DAD"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p>
    <w:p w:rsidR="003B3DAD" w:rsidRPr="004B6E54" w:rsidRDefault="004B6E54" w:rsidP="003B3DAD">
      <w:pPr>
        <w:widowControl w:val="0"/>
        <w:autoSpaceDE w:val="0"/>
        <w:autoSpaceDN w:val="0"/>
        <w:adjustRightInd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Pořadí bude stanoveno na základě součtu bodů za jednotlivá kritéria se zaokrouhlením na dvě desetinná místa.</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Přidělení veřejné zakázky</w:t>
      </w: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přidělí veřejnou zakázku uchazeči, jehož nabídka byla vyhodnocena v souladu se stanovenými kritérii hodnocení jako ekonomicky nejvýhodnější.</w:t>
      </w: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Rozhodnutí o přidělení veřejné zakázky bude zadavatelem neprodleně zasláno všem uchazečům, kteří nebyli ze zadávacího řízení vyloučeni. S uchazečem, jehož nabídka bude vybrána jako ekonomicky nejvýhodnější, se zahájí jednání o znění smlouvy. Odmítne-li vybraný uchazeč uzavřít se zadavatelem smlouvu nebo neposkytne-li potřebnou součinnost, uzavře zadavatel smlouvu s uchazečem, který se umístil další v pořadí. Uzavření smlouvy oznámí zadavatel všem nevyloučeným uchazečům.</w:t>
      </w: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Výběrem nejvhodnější nabídky nevzniká právní vztah mezi uchazečem a zadavatelem. Zadavatel si vyhrazuje v souladu s ustanovením § 82 ZVZ</w:t>
      </w:r>
      <w:r w:rsidRPr="004B6E54">
        <w:rPr>
          <w:rFonts w:ascii="Arial" w:eastAsia="Times New Roman" w:hAnsi="Arial" w:cs="Arial"/>
          <w:color w:val="FF0000"/>
          <w:sz w:val="24"/>
          <w:szCs w:val="24"/>
          <w:lang w:eastAsia="cs-CZ"/>
        </w:rPr>
        <w:t xml:space="preserve"> </w:t>
      </w:r>
      <w:r w:rsidRPr="004B6E54">
        <w:rPr>
          <w:rFonts w:ascii="Arial" w:eastAsia="Times New Roman" w:hAnsi="Arial" w:cs="Arial"/>
          <w:sz w:val="24"/>
          <w:szCs w:val="24"/>
          <w:lang w:eastAsia="cs-CZ"/>
        </w:rPr>
        <w:t>právo jednat o konečném znění smlouvy.</w:t>
      </w:r>
    </w:p>
    <w:p w:rsidR="003B3DAD" w:rsidRPr="004B6E54" w:rsidRDefault="003B3DAD" w:rsidP="003B3DAD">
      <w:pPr>
        <w:keepNext/>
        <w:widowControl w:val="0"/>
        <w:numPr>
          <w:ilvl w:val="0"/>
          <w:numId w:val="3"/>
        </w:numPr>
        <w:shd w:val="pct5" w:color="auto" w:fill="auto"/>
        <w:spacing w:before="480" w:after="240" w:line="240" w:lineRule="auto"/>
        <w:ind w:left="426" w:hanging="426"/>
        <w:jc w:val="both"/>
        <w:outlineLvl w:val="0"/>
        <w:rPr>
          <w:rFonts w:ascii="Arial" w:eastAsia="Times New Roman" w:hAnsi="Arial" w:cs="Arial"/>
          <w:b/>
          <w:bCs/>
          <w:kern w:val="32"/>
          <w:sz w:val="24"/>
          <w:szCs w:val="24"/>
          <w:lang w:eastAsia="cs-CZ"/>
        </w:rPr>
      </w:pPr>
      <w:r w:rsidRPr="004B6E54">
        <w:rPr>
          <w:rFonts w:ascii="Arial" w:eastAsia="Times New Roman" w:hAnsi="Arial" w:cs="Arial"/>
          <w:b/>
          <w:bCs/>
          <w:kern w:val="32"/>
          <w:sz w:val="24"/>
          <w:szCs w:val="24"/>
          <w:lang w:eastAsia="cs-CZ"/>
        </w:rPr>
        <w:lastRenderedPageBreak/>
        <w:t>Ostatní</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Dodatečné informace, vysvětlení nabídky a důvěrnost informací</w:t>
      </w:r>
    </w:p>
    <w:p w:rsidR="003B3DAD" w:rsidRPr="004B6E54" w:rsidRDefault="003B3DAD" w:rsidP="003B3DAD">
      <w:pPr>
        <w:widowControl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Dodatečné dotazy na předmět zadávacího řízení nebo jeho organizaci ze strany dodavatelů musí být zadavateli zaslány pouze v písemné formě (mailem, poštou) kontaktní osobě zadavatele uvedené v těchto zadávacích podmínkách.</w:t>
      </w:r>
    </w:p>
    <w:p w:rsidR="003B3DAD" w:rsidRPr="004B6E54" w:rsidRDefault="003B3DAD" w:rsidP="003B3DAD">
      <w:pPr>
        <w:widowControl w:val="0"/>
        <w:spacing w:after="0" w:line="240" w:lineRule="auto"/>
        <w:jc w:val="both"/>
        <w:rPr>
          <w:rFonts w:ascii="Arial" w:eastAsia="Times New Roman" w:hAnsi="Arial" w:cs="Arial"/>
          <w:sz w:val="24"/>
          <w:szCs w:val="24"/>
          <w:lang w:eastAsia="cs-CZ"/>
        </w:rPr>
      </w:pPr>
    </w:p>
    <w:p w:rsidR="003B3DAD" w:rsidRPr="004B6E54" w:rsidRDefault="003B3DAD" w:rsidP="003B3DAD">
      <w:pPr>
        <w:widowControl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(hodnotící komise zadavatele) má právo v případě nejasností požádat během hodnocení nabídek o vysvětlení nabídky. Žádost o vysvětlení, jako i samotné vysvětlení musejí mít písemnou formu (mail, fax, poštovní zásilka).</w:t>
      </w:r>
    </w:p>
    <w:p w:rsidR="003B3DAD" w:rsidRPr="004B6E54" w:rsidRDefault="003B3DAD" w:rsidP="003B3DAD">
      <w:pPr>
        <w:widowControl w:val="0"/>
        <w:spacing w:after="0" w:line="240" w:lineRule="auto"/>
        <w:jc w:val="both"/>
        <w:rPr>
          <w:rFonts w:ascii="Arial" w:eastAsia="Times New Roman" w:hAnsi="Arial" w:cs="Arial"/>
          <w:sz w:val="24"/>
          <w:szCs w:val="24"/>
          <w:lang w:eastAsia="cs-CZ"/>
        </w:rPr>
      </w:pPr>
    </w:p>
    <w:p w:rsidR="003B3DAD" w:rsidRPr="004B6E54" w:rsidRDefault="003B3DAD" w:rsidP="003B3DAD">
      <w:pPr>
        <w:widowControl w:val="0"/>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veřejné zakázky i uchazeči jsou povinni zacházet se všemi informacemi, které jim budou poskytnuty, jako s důvěrnými (s výjimkou informací, které byly veřejně publikované).</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Další podmínky řízení a upřesňující požadavky zadavatele</w:t>
      </w:r>
    </w:p>
    <w:p w:rsidR="003B3DAD" w:rsidRPr="004B6E54" w:rsidRDefault="003B3DAD" w:rsidP="003B3DAD">
      <w:pPr>
        <w:numPr>
          <w:ilvl w:val="1"/>
          <w:numId w:val="2"/>
        </w:num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nepřipouští variantní řešení ani rozdělení veřejné zakázky na části.</w:t>
      </w:r>
    </w:p>
    <w:p w:rsidR="003B3DAD" w:rsidRPr="004B6E54" w:rsidRDefault="003B3DAD" w:rsidP="003B3DAD">
      <w:pPr>
        <w:numPr>
          <w:ilvl w:val="1"/>
          <w:numId w:val="2"/>
        </w:num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si vyhrazuje právo změnit, upřesnit, doplnit podmínky zadávacího řízení, dále zadávací řízení do uzavření smlouvy zrušit, případně veškeré přijaté nabídky odmítnout.</w:t>
      </w:r>
    </w:p>
    <w:p w:rsidR="003B3DAD" w:rsidRPr="004B6E54" w:rsidRDefault="003B3DAD" w:rsidP="003B3DAD">
      <w:pPr>
        <w:numPr>
          <w:ilvl w:val="1"/>
          <w:numId w:val="2"/>
        </w:num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si vyhrazuje právo neposkytovat náhradu nákladů, které dodavatel vynaložil na účast v zadávacím řízení.</w:t>
      </w:r>
    </w:p>
    <w:p w:rsidR="003B3DAD" w:rsidRPr="004B6E54" w:rsidRDefault="003B3DAD" w:rsidP="003B3DAD">
      <w:pPr>
        <w:numPr>
          <w:ilvl w:val="1"/>
          <w:numId w:val="2"/>
        </w:numPr>
        <w:spacing w:after="120" w:line="280" w:lineRule="atLeast"/>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 xml:space="preserve">Zadavatel poskytne odpovědi na dotazy zaslané mu ve smyslu § 49 ZVZ. Pro podávání dotazů a jejich odpovídání zadavatel stanovuje přednostně komunikaci elektronickou poštou. </w:t>
      </w:r>
    </w:p>
    <w:p w:rsidR="003B3DAD" w:rsidRPr="004B6E54" w:rsidRDefault="003B3DAD" w:rsidP="003B3DAD">
      <w:pPr>
        <w:numPr>
          <w:ilvl w:val="1"/>
          <w:numId w:val="2"/>
        </w:numPr>
        <w:spacing w:after="120" w:line="280" w:lineRule="atLeast"/>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si vyhrazuje právo ověřit informace obsažené v nabídce uchazeče u třetích osob.</w:t>
      </w:r>
    </w:p>
    <w:p w:rsidR="003B3DAD" w:rsidRPr="004B6E54" w:rsidRDefault="003B3DAD" w:rsidP="003B3DAD">
      <w:pPr>
        <w:numPr>
          <w:ilvl w:val="1"/>
          <w:numId w:val="2"/>
        </w:numPr>
        <w:spacing w:after="120" w:line="280" w:lineRule="atLeast"/>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Nabídky, kopie nabídek ani jednotlivé součásti nabídek uchazečů nebo vyloučených uchazečů nebudou vráceny.</w:t>
      </w:r>
    </w:p>
    <w:p w:rsidR="003B3DAD" w:rsidRPr="004B6E54" w:rsidRDefault="003B3DAD" w:rsidP="003B3DAD">
      <w:pPr>
        <w:numPr>
          <w:ilvl w:val="1"/>
          <w:numId w:val="2"/>
        </w:num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si vyhrazuje právo odmítnout všechny podané nabídky.</w:t>
      </w:r>
    </w:p>
    <w:p w:rsidR="003B3DAD" w:rsidRPr="004B6E54" w:rsidRDefault="003B3DAD" w:rsidP="003B3DAD">
      <w:pPr>
        <w:numPr>
          <w:ilvl w:val="1"/>
          <w:numId w:val="2"/>
        </w:num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vrátí uchazeči neotevřenou obálku s nabídkou, která byla doručena po termínu stanoveného zadavatelem pro podání nabídky.</w:t>
      </w:r>
    </w:p>
    <w:p w:rsidR="003B3DAD" w:rsidRPr="004B6E54" w:rsidRDefault="003B3DAD" w:rsidP="003B3DAD">
      <w:pPr>
        <w:numPr>
          <w:ilvl w:val="1"/>
          <w:numId w:val="2"/>
        </w:num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si vyhrazuje právo vyřadit nabídky, které nebyly zpracovány podle těchto podmínek stanovených zadavatelem (kvalifikace, obsah nabídky atd.).</w:t>
      </w:r>
    </w:p>
    <w:p w:rsidR="003B3DAD" w:rsidRPr="004B6E54" w:rsidRDefault="003B3DAD" w:rsidP="003B3DAD">
      <w:pPr>
        <w:numPr>
          <w:ilvl w:val="1"/>
          <w:numId w:val="2"/>
        </w:numPr>
        <w:spacing w:after="12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Zadavatel si vyhrazuje právo oznámit výběr nejvhodnější nabídky pouze uchazečům, jejichž nabídka nebyla vyřazena nebo kteří nebyli vyloučeni ze zadávacího řízení.</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t>Způsoby ukončení zadávacího řízení:</w:t>
      </w:r>
    </w:p>
    <w:p w:rsidR="003B3DAD" w:rsidRPr="004B6E54" w:rsidRDefault="003B3DAD" w:rsidP="003B3DAD">
      <w:pPr>
        <w:tabs>
          <w:tab w:val="center" w:pos="1871"/>
        </w:tabs>
        <w:spacing w:after="0" w:line="240" w:lineRule="auto"/>
        <w:rPr>
          <w:rFonts w:ascii="Arial" w:eastAsia="Times New Roman" w:hAnsi="Arial" w:cs="Arial"/>
          <w:snapToGrid w:val="0"/>
          <w:sz w:val="24"/>
          <w:szCs w:val="24"/>
          <w:lang w:eastAsia="cs-CZ"/>
        </w:rPr>
      </w:pPr>
    </w:p>
    <w:p w:rsidR="003B3DAD" w:rsidRPr="004B6E54" w:rsidRDefault="003B3DAD" w:rsidP="003B3DAD">
      <w:pPr>
        <w:tabs>
          <w:tab w:val="center" w:pos="1871"/>
        </w:tabs>
        <w:spacing w:after="0" w:line="240" w:lineRule="auto"/>
        <w:rPr>
          <w:rFonts w:ascii="Arial" w:eastAsia="Times New Roman" w:hAnsi="Arial" w:cs="Arial"/>
          <w:snapToGrid w:val="0"/>
          <w:sz w:val="24"/>
          <w:szCs w:val="24"/>
          <w:lang w:eastAsia="cs-CZ"/>
        </w:rPr>
      </w:pPr>
      <w:r w:rsidRPr="004B6E54">
        <w:rPr>
          <w:rFonts w:ascii="Arial" w:eastAsia="Times New Roman" w:hAnsi="Arial" w:cs="Arial"/>
          <w:snapToGrid w:val="0"/>
          <w:sz w:val="24"/>
          <w:szCs w:val="24"/>
          <w:lang w:eastAsia="cs-CZ"/>
        </w:rPr>
        <w:t>Zadávací řízení může být ukončeno</w:t>
      </w:r>
    </w:p>
    <w:p w:rsidR="003B3DAD" w:rsidRPr="004B6E54" w:rsidRDefault="003B3DAD" w:rsidP="003B3DAD">
      <w:pPr>
        <w:numPr>
          <w:ilvl w:val="0"/>
          <w:numId w:val="4"/>
        </w:numPr>
        <w:tabs>
          <w:tab w:val="center" w:pos="1871"/>
        </w:tabs>
        <w:spacing w:after="0" w:line="240" w:lineRule="auto"/>
        <w:rPr>
          <w:rFonts w:ascii="Arial" w:eastAsia="Times New Roman" w:hAnsi="Arial" w:cs="Arial"/>
          <w:snapToGrid w:val="0"/>
          <w:sz w:val="24"/>
          <w:szCs w:val="24"/>
          <w:lang w:eastAsia="cs-CZ"/>
        </w:rPr>
      </w:pPr>
      <w:r w:rsidRPr="004B6E54">
        <w:rPr>
          <w:rFonts w:ascii="Arial" w:eastAsia="Times New Roman" w:hAnsi="Arial" w:cs="Arial"/>
          <w:snapToGrid w:val="0"/>
          <w:sz w:val="24"/>
          <w:szCs w:val="24"/>
          <w:lang w:eastAsia="cs-CZ"/>
        </w:rPr>
        <w:t>uzavřením smlouvy s vybraným uchazečem;</w:t>
      </w:r>
    </w:p>
    <w:p w:rsidR="003B3DAD" w:rsidRPr="004B6E54" w:rsidRDefault="003B3DAD" w:rsidP="003B3DAD">
      <w:pPr>
        <w:numPr>
          <w:ilvl w:val="0"/>
          <w:numId w:val="4"/>
        </w:numPr>
        <w:tabs>
          <w:tab w:val="center" w:pos="1871"/>
        </w:tabs>
        <w:spacing w:after="0" w:line="240" w:lineRule="auto"/>
        <w:jc w:val="both"/>
        <w:rPr>
          <w:rFonts w:ascii="Arial" w:eastAsia="Times New Roman" w:hAnsi="Arial" w:cs="Arial"/>
          <w:snapToGrid w:val="0"/>
          <w:sz w:val="24"/>
          <w:szCs w:val="24"/>
          <w:lang w:eastAsia="cs-CZ"/>
        </w:rPr>
      </w:pPr>
      <w:r w:rsidRPr="004B6E54">
        <w:rPr>
          <w:rFonts w:ascii="Arial" w:eastAsia="Times New Roman" w:hAnsi="Arial" w:cs="Arial"/>
          <w:snapToGrid w:val="0"/>
          <w:sz w:val="24"/>
          <w:szCs w:val="24"/>
          <w:lang w:eastAsia="cs-CZ"/>
        </w:rPr>
        <w:t>uzavřením smlouvy s uchazečem umístěným v dalším pořadí, jestliže nedojde k uzavření smlouvy s vybraným uchazečem (§ 82 odst. 3 zákona);</w:t>
      </w:r>
    </w:p>
    <w:p w:rsidR="003B3DAD" w:rsidRPr="004B6E54" w:rsidRDefault="003B3DAD" w:rsidP="003B3DAD">
      <w:pPr>
        <w:numPr>
          <w:ilvl w:val="0"/>
          <w:numId w:val="4"/>
        </w:numPr>
        <w:tabs>
          <w:tab w:val="center" w:pos="1871"/>
        </w:tabs>
        <w:spacing w:after="0" w:line="240" w:lineRule="auto"/>
        <w:jc w:val="both"/>
        <w:rPr>
          <w:rFonts w:ascii="Arial" w:eastAsia="Times New Roman" w:hAnsi="Arial" w:cs="Arial"/>
          <w:snapToGrid w:val="0"/>
          <w:sz w:val="24"/>
          <w:szCs w:val="24"/>
          <w:lang w:eastAsia="cs-CZ"/>
        </w:rPr>
      </w:pPr>
      <w:r w:rsidRPr="004B6E54">
        <w:rPr>
          <w:rFonts w:ascii="Arial" w:eastAsia="Times New Roman" w:hAnsi="Arial" w:cs="Arial"/>
          <w:snapToGrid w:val="0"/>
          <w:sz w:val="24"/>
          <w:szCs w:val="24"/>
          <w:lang w:eastAsia="cs-CZ"/>
        </w:rPr>
        <w:t>bez vybrání uchazeče, jestliže vyhlašovatel odmítne všechny předložené nabídky;</w:t>
      </w:r>
    </w:p>
    <w:p w:rsidR="003B3DAD" w:rsidRPr="004B6E54" w:rsidRDefault="003B3DAD" w:rsidP="003B3DAD">
      <w:pPr>
        <w:keepNext/>
        <w:numPr>
          <w:ilvl w:val="1"/>
          <w:numId w:val="3"/>
        </w:numPr>
        <w:spacing w:before="240" w:after="60" w:line="240" w:lineRule="auto"/>
        <w:outlineLvl w:val="1"/>
        <w:rPr>
          <w:rFonts w:ascii="Arial" w:eastAsia="Times New Roman" w:hAnsi="Arial" w:cs="Arial"/>
          <w:b/>
          <w:bCs/>
          <w:i/>
          <w:iCs/>
          <w:snapToGrid w:val="0"/>
          <w:sz w:val="24"/>
          <w:szCs w:val="24"/>
          <w:lang w:eastAsia="cs-CZ"/>
        </w:rPr>
      </w:pPr>
      <w:r w:rsidRPr="004B6E54">
        <w:rPr>
          <w:rFonts w:ascii="Arial" w:eastAsia="Times New Roman" w:hAnsi="Arial" w:cs="Arial"/>
          <w:b/>
          <w:bCs/>
          <w:i/>
          <w:iCs/>
          <w:snapToGrid w:val="0"/>
          <w:sz w:val="24"/>
          <w:szCs w:val="24"/>
          <w:lang w:eastAsia="cs-CZ"/>
        </w:rPr>
        <w:lastRenderedPageBreak/>
        <w:t>Důvěrnost informací</w:t>
      </w:r>
    </w:p>
    <w:p w:rsidR="003B3DAD" w:rsidRPr="004B6E54" w:rsidRDefault="003B3DAD" w:rsidP="003B3DAD">
      <w:pPr>
        <w:tabs>
          <w:tab w:val="center" w:pos="1871"/>
        </w:tabs>
        <w:spacing w:after="0" w:line="240" w:lineRule="auto"/>
        <w:rPr>
          <w:rFonts w:ascii="Arial" w:eastAsia="Times New Roman" w:hAnsi="Arial" w:cs="Arial"/>
          <w:snapToGrid w:val="0"/>
          <w:sz w:val="24"/>
          <w:szCs w:val="24"/>
          <w:lang w:eastAsia="cs-CZ"/>
        </w:rPr>
      </w:pPr>
    </w:p>
    <w:p w:rsidR="003B3DAD" w:rsidRPr="004B6E54" w:rsidRDefault="003B3DAD" w:rsidP="003B3DAD">
      <w:pPr>
        <w:tabs>
          <w:tab w:val="center" w:pos="1871"/>
        </w:tabs>
        <w:spacing w:after="0" w:line="240" w:lineRule="auto"/>
        <w:jc w:val="both"/>
        <w:rPr>
          <w:rFonts w:ascii="Arial" w:eastAsia="Times New Roman" w:hAnsi="Arial" w:cs="Arial"/>
          <w:snapToGrid w:val="0"/>
          <w:sz w:val="24"/>
          <w:szCs w:val="24"/>
          <w:lang w:eastAsia="cs-CZ"/>
        </w:rPr>
      </w:pPr>
      <w:r w:rsidRPr="004B6E54">
        <w:rPr>
          <w:rFonts w:ascii="Arial" w:eastAsia="Times New Roman" w:hAnsi="Arial" w:cs="Arial"/>
          <w:snapToGrid w:val="0"/>
          <w:sz w:val="24"/>
          <w:szCs w:val="24"/>
          <w:lang w:eastAsia="cs-CZ"/>
        </w:rPr>
        <w:t>Účastníci tohoto zadávacího řízení jsou povinni zacházet se všemi informacemi, které jim byly poskytnuty v souvislosti s vyhlášeným zadávacího řízení, jako s důvěrnými ve smyslu § 271 Obchodního zákoníku.</w:t>
      </w: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t>......................................</w:t>
      </w:r>
    </w:p>
    <w:p w:rsidR="003B3DAD" w:rsidRPr="004B6E54" w:rsidRDefault="003B3DAD" w:rsidP="003B3DAD">
      <w:pPr>
        <w:spacing w:after="0" w:line="240" w:lineRule="auto"/>
        <w:ind w:left="4956" w:firstLine="708"/>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JUDr. Jiří Kubeša</w:t>
      </w: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Pr="004B6E54">
        <w:rPr>
          <w:rFonts w:ascii="Arial" w:eastAsia="Times New Roman" w:hAnsi="Arial" w:cs="Arial"/>
          <w:sz w:val="24"/>
          <w:szCs w:val="24"/>
          <w:lang w:eastAsia="cs-CZ"/>
        </w:rPr>
        <w:tab/>
      </w:r>
      <w:r w:rsidR="004B6E54">
        <w:rPr>
          <w:rFonts w:ascii="Arial" w:eastAsia="Times New Roman" w:hAnsi="Arial" w:cs="Arial"/>
          <w:sz w:val="24"/>
          <w:szCs w:val="24"/>
          <w:lang w:eastAsia="cs-CZ"/>
        </w:rPr>
        <w:t xml:space="preserve">      ředitel</w:t>
      </w:r>
      <w:r w:rsidRPr="004B6E54">
        <w:rPr>
          <w:rFonts w:ascii="Arial" w:eastAsia="Times New Roman" w:hAnsi="Arial" w:cs="Arial"/>
          <w:sz w:val="24"/>
          <w:szCs w:val="24"/>
          <w:lang w:eastAsia="cs-CZ"/>
        </w:rPr>
        <w:t xml:space="preserve"> Úřadu práce ČR</w:t>
      </w: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r w:rsidRPr="004B6E54">
        <w:rPr>
          <w:rFonts w:ascii="Arial" w:eastAsia="Times New Roman" w:hAnsi="Arial" w:cs="Arial"/>
          <w:sz w:val="24"/>
          <w:szCs w:val="24"/>
          <w:lang w:eastAsia="cs-CZ"/>
        </w:rPr>
        <w:t>Přílohy:</w:t>
      </w:r>
    </w:p>
    <w:p w:rsidR="003B3DAD" w:rsidRPr="004B6E54" w:rsidRDefault="003B3DAD" w:rsidP="003B3DAD">
      <w:pPr>
        <w:spacing w:after="0" w:line="240" w:lineRule="auto"/>
        <w:jc w:val="both"/>
        <w:rPr>
          <w:rFonts w:ascii="Arial" w:eastAsia="Times New Roman" w:hAnsi="Arial" w:cs="Arial"/>
          <w:bCs/>
          <w:sz w:val="24"/>
          <w:szCs w:val="24"/>
          <w:lang w:eastAsia="cs-CZ"/>
        </w:rPr>
      </w:pPr>
      <w:r w:rsidRPr="004B6E54">
        <w:rPr>
          <w:rFonts w:ascii="Arial" w:eastAsia="Times New Roman" w:hAnsi="Arial" w:cs="Arial"/>
          <w:bCs/>
          <w:sz w:val="24"/>
          <w:szCs w:val="24"/>
          <w:lang w:eastAsia="cs-CZ"/>
        </w:rPr>
        <w:t>Příloha č. 1: Seznam vozidel provozovaných Úřadem práce ČR</w:t>
      </w:r>
    </w:p>
    <w:p w:rsidR="003B3DAD" w:rsidRPr="004B6E54" w:rsidRDefault="003B3DAD" w:rsidP="003B3DAD">
      <w:pPr>
        <w:spacing w:after="0" w:line="240" w:lineRule="auto"/>
        <w:jc w:val="both"/>
        <w:rPr>
          <w:rFonts w:ascii="Arial" w:eastAsia="Times New Roman" w:hAnsi="Arial" w:cs="Arial"/>
          <w:bCs/>
          <w:sz w:val="24"/>
          <w:szCs w:val="24"/>
          <w:lang w:eastAsia="cs-CZ"/>
        </w:rPr>
      </w:pPr>
      <w:r w:rsidRPr="004B6E54">
        <w:rPr>
          <w:rFonts w:ascii="Arial" w:eastAsia="Times New Roman" w:hAnsi="Arial" w:cs="Arial"/>
          <w:bCs/>
          <w:sz w:val="24"/>
          <w:szCs w:val="24"/>
          <w:lang w:eastAsia="cs-CZ"/>
        </w:rPr>
        <w:t>Příloha č. 2: Krycí list nabídky</w:t>
      </w:r>
    </w:p>
    <w:p w:rsidR="003B3DAD" w:rsidRPr="004B6E54" w:rsidRDefault="003B3DAD" w:rsidP="003B3DAD">
      <w:pPr>
        <w:spacing w:after="0" w:line="240" w:lineRule="auto"/>
        <w:jc w:val="both"/>
        <w:rPr>
          <w:rFonts w:ascii="Arial" w:eastAsia="Times New Roman" w:hAnsi="Arial" w:cs="Arial"/>
          <w:bCs/>
          <w:sz w:val="24"/>
          <w:szCs w:val="24"/>
          <w:lang w:eastAsia="cs-CZ"/>
        </w:rPr>
      </w:pPr>
    </w:p>
    <w:p w:rsidR="003B3DAD" w:rsidRPr="004B6E54" w:rsidRDefault="003B3DAD" w:rsidP="003B3DAD">
      <w:pPr>
        <w:spacing w:after="0" w:line="240" w:lineRule="auto"/>
        <w:jc w:val="both"/>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spacing w:after="0" w:line="240" w:lineRule="auto"/>
        <w:rPr>
          <w:rFonts w:ascii="Arial" w:eastAsia="Times New Roman" w:hAnsi="Arial" w:cs="Arial"/>
          <w:sz w:val="24"/>
          <w:szCs w:val="24"/>
          <w:lang w:eastAsia="cs-CZ"/>
        </w:rPr>
      </w:pPr>
    </w:p>
    <w:p w:rsidR="003B3DAD" w:rsidRPr="004B6E54" w:rsidRDefault="003B3DAD" w:rsidP="003B3DAD">
      <w:pPr>
        <w:rPr>
          <w:rFonts w:ascii="Arial" w:hAnsi="Arial" w:cs="Arial"/>
        </w:rPr>
      </w:pPr>
    </w:p>
    <w:p w:rsidR="003B7C50" w:rsidRPr="004B6E54" w:rsidRDefault="003B7C50">
      <w:pPr>
        <w:rPr>
          <w:rFonts w:ascii="Arial" w:hAnsi="Arial" w:cs="Arial"/>
        </w:rPr>
      </w:pPr>
    </w:p>
    <w:sectPr w:rsidR="003B7C50" w:rsidRPr="004B6E54">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60C" w:rsidRDefault="00B0760C" w:rsidP="003B3DAD">
      <w:pPr>
        <w:spacing w:after="0" w:line="240" w:lineRule="auto"/>
      </w:pPr>
      <w:r>
        <w:separator/>
      </w:r>
    </w:p>
  </w:endnote>
  <w:endnote w:type="continuationSeparator" w:id="0">
    <w:p w:rsidR="00B0760C" w:rsidRDefault="00B0760C" w:rsidP="003B3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0C" w:rsidRDefault="00B0760C">
    <w:pPr>
      <w:pStyle w:val="Zpat"/>
      <w:rPr>
        <w:rFonts w:ascii="Arial" w:hAnsi="Arial" w:cs="Arial"/>
        <w:sz w:val="18"/>
        <w:szCs w:val="18"/>
      </w:rPr>
    </w:pPr>
    <w:r>
      <w:rPr>
        <w:rFonts w:ascii="Arial" w:hAnsi="Arial" w:cs="Arial"/>
        <w:sz w:val="18"/>
        <w:szCs w:val="18"/>
      </w:rPr>
      <w:tab/>
    </w:r>
    <w:r>
      <w:rPr>
        <w:rFonts w:ascii="Arial" w:hAnsi="Arial" w:cs="Arial"/>
        <w:sz w:val="18"/>
        <w:szCs w:val="18"/>
      </w:rPr>
      <w:tab/>
      <w:t xml:space="preserve">Strana </w:t>
    </w:r>
    <w:r>
      <w:rPr>
        <w:rStyle w:val="slostrnky"/>
        <w:rFonts w:ascii="Arial" w:hAnsi="Arial" w:cs="Arial"/>
        <w:sz w:val="18"/>
        <w:szCs w:val="18"/>
      </w:rPr>
      <w:fldChar w:fldCharType="begin"/>
    </w:r>
    <w:r>
      <w:rPr>
        <w:rStyle w:val="slostrnky"/>
        <w:rFonts w:ascii="Arial" w:hAnsi="Arial" w:cs="Arial"/>
        <w:sz w:val="18"/>
        <w:szCs w:val="18"/>
      </w:rPr>
      <w:instrText xml:space="preserve"> PAGE </w:instrText>
    </w:r>
    <w:r>
      <w:rPr>
        <w:rStyle w:val="slostrnky"/>
        <w:rFonts w:ascii="Arial" w:hAnsi="Arial" w:cs="Arial"/>
        <w:sz w:val="18"/>
        <w:szCs w:val="18"/>
      </w:rPr>
      <w:fldChar w:fldCharType="separate"/>
    </w:r>
    <w:r>
      <w:rPr>
        <w:rStyle w:val="slostrnky"/>
        <w:rFonts w:ascii="Arial" w:hAnsi="Arial" w:cs="Arial"/>
        <w:noProof/>
        <w:sz w:val="18"/>
        <w:szCs w:val="18"/>
      </w:rPr>
      <w:t>1</w:t>
    </w:r>
    <w:r>
      <w:rPr>
        <w:rStyle w:val="slostrnky"/>
        <w:rFonts w:ascii="Arial" w:hAnsi="Arial" w:cs="Arial"/>
        <w:sz w:val="18"/>
        <w:szCs w:val="18"/>
      </w:rPr>
      <w:fldChar w:fldCharType="end"/>
    </w:r>
    <w:r>
      <w:rPr>
        <w:rStyle w:val="slostrnky"/>
        <w:rFonts w:ascii="Arial" w:hAnsi="Arial" w:cs="Arial"/>
        <w:sz w:val="18"/>
        <w:szCs w:val="18"/>
      </w:rPr>
      <w:t xml:space="preserve"> z </w:t>
    </w:r>
    <w:r>
      <w:rPr>
        <w:rStyle w:val="slostrnky"/>
        <w:rFonts w:ascii="Arial" w:hAnsi="Arial" w:cs="Arial"/>
        <w:sz w:val="18"/>
        <w:szCs w:val="18"/>
      </w:rPr>
      <w:fldChar w:fldCharType="begin"/>
    </w:r>
    <w:r>
      <w:rPr>
        <w:rStyle w:val="slostrnky"/>
        <w:rFonts w:ascii="Arial" w:hAnsi="Arial" w:cs="Arial"/>
        <w:sz w:val="18"/>
        <w:szCs w:val="18"/>
      </w:rPr>
      <w:instrText xml:space="preserve"> NUMPAGES </w:instrText>
    </w:r>
    <w:r>
      <w:rPr>
        <w:rStyle w:val="slostrnky"/>
        <w:rFonts w:ascii="Arial" w:hAnsi="Arial" w:cs="Arial"/>
        <w:sz w:val="18"/>
        <w:szCs w:val="18"/>
      </w:rPr>
      <w:fldChar w:fldCharType="separate"/>
    </w:r>
    <w:r>
      <w:rPr>
        <w:rStyle w:val="slostrnky"/>
        <w:rFonts w:ascii="Arial" w:hAnsi="Arial" w:cs="Arial"/>
        <w:noProof/>
        <w:sz w:val="18"/>
        <w:szCs w:val="18"/>
      </w:rPr>
      <w:t>19</w:t>
    </w:r>
    <w:r>
      <w:rPr>
        <w:rStyle w:val="slostrnky"/>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0C" w:rsidRDefault="00B0760C">
    <w:pPr>
      <w:pStyle w:val="Zpat"/>
      <w:rPr>
        <w:rFonts w:ascii="Arial" w:hAnsi="Arial" w:cs="Arial"/>
        <w:sz w:val="18"/>
        <w:szCs w:val="18"/>
      </w:rPr>
    </w:pPr>
    <w:r>
      <w:rPr>
        <w:rFonts w:ascii="Arial" w:hAnsi="Arial" w:cs="Arial"/>
        <w:sz w:val="18"/>
        <w:szCs w:val="18"/>
      </w:rPr>
      <w:tab/>
    </w:r>
    <w:r>
      <w:rPr>
        <w:rFonts w:ascii="Arial" w:hAnsi="Arial" w:cs="Arial"/>
        <w:sz w:val="18"/>
        <w:szCs w:val="18"/>
      </w:rPr>
      <w:tab/>
      <w:t xml:space="preserve">Strana </w:t>
    </w:r>
    <w:r>
      <w:rPr>
        <w:rStyle w:val="slostrnky"/>
        <w:rFonts w:ascii="Arial" w:hAnsi="Arial" w:cs="Arial"/>
        <w:sz w:val="18"/>
        <w:szCs w:val="18"/>
      </w:rPr>
      <w:fldChar w:fldCharType="begin"/>
    </w:r>
    <w:r>
      <w:rPr>
        <w:rStyle w:val="slostrnky"/>
        <w:rFonts w:ascii="Arial" w:hAnsi="Arial" w:cs="Arial"/>
        <w:sz w:val="18"/>
        <w:szCs w:val="18"/>
      </w:rPr>
      <w:instrText xml:space="preserve"> PAGE </w:instrText>
    </w:r>
    <w:r>
      <w:rPr>
        <w:rStyle w:val="slostrnky"/>
        <w:rFonts w:ascii="Arial" w:hAnsi="Arial" w:cs="Arial"/>
        <w:sz w:val="18"/>
        <w:szCs w:val="18"/>
      </w:rPr>
      <w:fldChar w:fldCharType="separate"/>
    </w:r>
    <w:r w:rsidR="00A8686F">
      <w:rPr>
        <w:rStyle w:val="slostrnky"/>
        <w:rFonts w:ascii="Arial" w:hAnsi="Arial" w:cs="Arial"/>
        <w:noProof/>
        <w:sz w:val="18"/>
        <w:szCs w:val="18"/>
      </w:rPr>
      <w:t>16</w:t>
    </w:r>
    <w:r>
      <w:rPr>
        <w:rStyle w:val="slostrnky"/>
        <w:rFonts w:ascii="Arial" w:hAnsi="Arial" w:cs="Arial"/>
        <w:sz w:val="18"/>
        <w:szCs w:val="18"/>
      </w:rPr>
      <w:fldChar w:fldCharType="end"/>
    </w:r>
    <w:r>
      <w:rPr>
        <w:rStyle w:val="slostrnky"/>
        <w:rFonts w:ascii="Arial" w:hAnsi="Arial" w:cs="Arial"/>
        <w:sz w:val="18"/>
        <w:szCs w:val="18"/>
      </w:rPr>
      <w:t xml:space="preserve"> z </w:t>
    </w:r>
    <w:r>
      <w:rPr>
        <w:rStyle w:val="slostrnky"/>
        <w:rFonts w:ascii="Arial" w:hAnsi="Arial" w:cs="Arial"/>
        <w:sz w:val="18"/>
        <w:szCs w:val="18"/>
      </w:rPr>
      <w:fldChar w:fldCharType="begin"/>
    </w:r>
    <w:r>
      <w:rPr>
        <w:rStyle w:val="slostrnky"/>
        <w:rFonts w:ascii="Arial" w:hAnsi="Arial" w:cs="Arial"/>
        <w:sz w:val="18"/>
        <w:szCs w:val="18"/>
      </w:rPr>
      <w:instrText xml:space="preserve"> NUMPAGES </w:instrText>
    </w:r>
    <w:r>
      <w:rPr>
        <w:rStyle w:val="slostrnky"/>
        <w:rFonts w:ascii="Arial" w:hAnsi="Arial" w:cs="Arial"/>
        <w:sz w:val="18"/>
        <w:szCs w:val="18"/>
      </w:rPr>
      <w:fldChar w:fldCharType="separate"/>
    </w:r>
    <w:r w:rsidR="00A8686F">
      <w:rPr>
        <w:rStyle w:val="slostrnky"/>
        <w:rFonts w:ascii="Arial" w:hAnsi="Arial" w:cs="Arial"/>
        <w:noProof/>
        <w:sz w:val="18"/>
        <w:szCs w:val="18"/>
      </w:rPr>
      <w:t>19</w:t>
    </w:r>
    <w:r>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60C" w:rsidRDefault="00B0760C" w:rsidP="003B3DAD">
      <w:pPr>
        <w:spacing w:after="0" w:line="240" w:lineRule="auto"/>
      </w:pPr>
      <w:r>
        <w:separator/>
      </w:r>
    </w:p>
  </w:footnote>
  <w:footnote w:type="continuationSeparator" w:id="0">
    <w:p w:rsidR="00B0760C" w:rsidRDefault="00B0760C" w:rsidP="003B3DAD">
      <w:pPr>
        <w:spacing w:after="0" w:line="240" w:lineRule="auto"/>
      </w:pPr>
      <w:r>
        <w:continuationSeparator/>
      </w:r>
    </w:p>
  </w:footnote>
  <w:footnote w:id="1">
    <w:p w:rsidR="00B0760C" w:rsidRDefault="00B0760C" w:rsidP="003B3DAD">
      <w:pPr>
        <w:pStyle w:val="Textpoznpodarou"/>
        <w:rPr>
          <w:sz w:val="16"/>
          <w:szCs w:val="16"/>
        </w:rPr>
      </w:pPr>
      <w:r>
        <w:rPr>
          <w:rStyle w:val="Znakapoznpodarou"/>
          <w:sz w:val="16"/>
          <w:szCs w:val="16"/>
        </w:rPr>
        <w:footnoteRef/>
      </w:r>
      <w:r>
        <w:rPr>
          <w:sz w:val="16"/>
          <w:szCs w:val="16"/>
          <w:vertAlign w:val="superscript"/>
        </w:rPr>
        <w:t>)</w:t>
      </w:r>
      <w:r>
        <w:rPr>
          <w:sz w:val="16"/>
          <w:szCs w:val="16"/>
        </w:rPr>
        <w:t xml:space="preserve"> </w:t>
      </w:r>
      <w:r>
        <w:rPr>
          <w:sz w:val="16"/>
          <w:szCs w:val="16"/>
        </w:rPr>
        <w:tab/>
        <w:t>§ 49 obchodního zákoníku.</w:t>
      </w:r>
    </w:p>
  </w:footnote>
  <w:footnote w:id="2">
    <w:p w:rsidR="00B0760C" w:rsidRDefault="00B0760C" w:rsidP="003B3DAD">
      <w:pPr>
        <w:pStyle w:val="Textpoznpodarou"/>
        <w:rPr>
          <w:sz w:val="16"/>
          <w:szCs w:val="16"/>
        </w:rPr>
      </w:pPr>
      <w:r>
        <w:rPr>
          <w:rStyle w:val="Znakapoznpodarou"/>
          <w:sz w:val="16"/>
          <w:szCs w:val="16"/>
        </w:rPr>
        <w:footnoteRef/>
      </w:r>
      <w:r>
        <w:rPr>
          <w:sz w:val="16"/>
          <w:szCs w:val="16"/>
          <w:vertAlign w:val="superscript"/>
        </w:rPr>
        <w:t>)</w:t>
      </w:r>
      <w:r>
        <w:rPr>
          <w:sz w:val="16"/>
          <w:szCs w:val="16"/>
        </w:rPr>
        <w:t xml:space="preserve"> </w:t>
      </w:r>
      <w:r>
        <w:rPr>
          <w:sz w:val="16"/>
          <w:szCs w:val="16"/>
        </w:rPr>
        <w:tab/>
        <w:t>Zákon č. 182/2006 Sb., o úpadku a způsobech jeho řešení (insolvenční zákon), ve znění pozdějších předpisů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0C" w:rsidRDefault="00B0760C">
    <w:pPr>
      <w:pStyle w:val="Zhlav"/>
      <w:jc w:val="center"/>
      <w:rPr>
        <w:i/>
      </w:rPr>
    </w:pPr>
    <w:r>
      <w:rPr>
        <w:i/>
      </w:rPr>
      <w:t>Veřejná zakázka – Pojištění motorových vozidel</w:t>
    </w:r>
  </w:p>
  <w:p w:rsidR="00B0760C" w:rsidRDefault="00B0760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60C" w:rsidRPr="00094618" w:rsidRDefault="00B0760C" w:rsidP="003B7C50">
    <w:pPr>
      <w:tabs>
        <w:tab w:val="center" w:pos="4536"/>
        <w:tab w:val="right" w:pos="9072"/>
      </w:tabs>
      <w:ind w:left="426"/>
      <w:rPr>
        <w:rFonts w:ascii="Arial" w:hAnsi="Arial" w:cs="Arial"/>
        <w:szCs w:val="20"/>
      </w:rPr>
    </w:pPr>
    <w:r>
      <w:rPr>
        <w:noProof/>
        <w:lang w:eastAsia="cs-CZ"/>
      </w:rPr>
      <w:drawing>
        <wp:anchor distT="0" distB="0" distL="114300" distR="114300" simplePos="0" relativeHeight="251659264" behindDoc="0" locked="0" layoutInCell="1" allowOverlap="1" wp14:anchorId="759EC4F8" wp14:editId="66F75587">
          <wp:simplePos x="0" y="0"/>
          <wp:positionH relativeFrom="column">
            <wp:posOffset>-687705</wp:posOffset>
          </wp:positionH>
          <wp:positionV relativeFrom="paragraph">
            <wp:posOffset>-254635</wp:posOffset>
          </wp:positionV>
          <wp:extent cx="666750" cy="66675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4618">
      <w:rPr>
        <w:rFonts w:ascii="Arial" w:hAnsi="Arial" w:cs="Arial"/>
        <w:szCs w:val="20"/>
      </w:rPr>
      <w:t>Úřad práce České republiky, Generální ředitelství</w:t>
    </w:r>
  </w:p>
  <w:p w:rsidR="00B0760C" w:rsidRDefault="00B0760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843CF"/>
    <w:multiLevelType w:val="hybridMultilevel"/>
    <w:tmpl w:val="A8381980"/>
    <w:lvl w:ilvl="0" w:tplc="04050001">
      <w:start w:val="1"/>
      <w:numFmt w:val="bullet"/>
      <w:lvlText w:val=""/>
      <w:lvlJc w:val="left"/>
      <w:pPr>
        <w:tabs>
          <w:tab w:val="num" w:pos="720"/>
        </w:tabs>
        <w:ind w:left="720" w:hanging="360"/>
      </w:pPr>
      <w:rPr>
        <w:rFonts w:ascii="Symbol" w:hAnsi="Symbol" w:hint="default"/>
      </w:rPr>
    </w:lvl>
    <w:lvl w:ilvl="1" w:tplc="9C38B13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DBE55AB"/>
    <w:multiLevelType w:val="hybridMultilevel"/>
    <w:tmpl w:val="FF8EB0D0"/>
    <w:lvl w:ilvl="0" w:tplc="04050017">
      <w:start w:val="1"/>
      <w:numFmt w:val="lowerLetter"/>
      <w:lvlText w:val="%1)"/>
      <w:lvlJc w:val="left"/>
      <w:pPr>
        <w:tabs>
          <w:tab w:val="num" w:pos="720"/>
        </w:tabs>
        <w:ind w:left="720" w:hanging="360"/>
      </w:pPr>
      <w:rPr>
        <w:rFonts w:hint="default"/>
      </w:rPr>
    </w:lvl>
    <w:lvl w:ilvl="1" w:tplc="9AC4C536">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E6D28D6"/>
    <w:multiLevelType w:val="hybridMultilevel"/>
    <w:tmpl w:val="B3FC6C4A"/>
    <w:lvl w:ilvl="0" w:tplc="04050001">
      <w:start w:val="1"/>
      <w:numFmt w:val="bullet"/>
      <w:lvlText w:val=""/>
      <w:lvlJc w:val="left"/>
      <w:pPr>
        <w:tabs>
          <w:tab w:val="num" w:pos="720"/>
        </w:tabs>
        <w:ind w:left="720" w:hanging="360"/>
      </w:pPr>
      <w:rPr>
        <w:rFonts w:ascii="Symbol" w:hAnsi="Symbol" w:hint="default"/>
      </w:rPr>
    </w:lvl>
    <w:lvl w:ilvl="1" w:tplc="9C38B13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30859D5"/>
    <w:multiLevelType w:val="hybridMultilevel"/>
    <w:tmpl w:val="A04054A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9852DBE"/>
    <w:multiLevelType w:val="hybridMultilevel"/>
    <w:tmpl w:val="357ADE0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1A5845CD"/>
    <w:multiLevelType w:val="hybridMultilevel"/>
    <w:tmpl w:val="4B9E4A3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C546B94"/>
    <w:multiLevelType w:val="hybridMultilevel"/>
    <w:tmpl w:val="AB8A3F7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BDEEF57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C7444AE"/>
    <w:multiLevelType w:val="hybridMultilevel"/>
    <w:tmpl w:val="FC6A2482"/>
    <w:lvl w:ilvl="0" w:tplc="06903844">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14F05C3"/>
    <w:multiLevelType w:val="hybridMultilevel"/>
    <w:tmpl w:val="855478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35A6D93"/>
    <w:multiLevelType w:val="hybridMultilevel"/>
    <w:tmpl w:val="03AA0BD8"/>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A8C7190"/>
    <w:multiLevelType w:val="hybridMultilevel"/>
    <w:tmpl w:val="D0DC468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AF062D2"/>
    <w:multiLevelType w:val="multilevel"/>
    <w:tmpl w:val="67EE820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nsid w:val="327905B1"/>
    <w:multiLevelType w:val="hybridMultilevel"/>
    <w:tmpl w:val="ED28BF20"/>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3">
    <w:nsid w:val="36C55049"/>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9AA6A92"/>
    <w:multiLevelType w:val="hybridMultilevel"/>
    <w:tmpl w:val="5882D85C"/>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5">
    <w:nsid w:val="40A37A40"/>
    <w:multiLevelType w:val="hybridMultilevel"/>
    <w:tmpl w:val="61E625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3C654CA"/>
    <w:multiLevelType w:val="hybridMultilevel"/>
    <w:tmpl w:val="1D1077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45267A94"/>
    <w:multiLevelType w:val="hybridMultilevel"/>
    <w:tmpl w:val="B6EACD0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9FD26B1"/>
    <w:multiLevelType w:val="hybridMultilevel"/>
    <w:tmpl w:val="A0DEF11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8934942"/>
    <w:multiLevelType w:val="hybridMultilevel"/>
    <w:tmpl w:val="7338AA6A"/>
    <w:lvl w:ilvl="0" w:tplc="06FAEEB4">
      <w:start w:val="1"/>
      <w:numFmt w:val="decimal"/>
      <w:lvlText w:val="%1."/>
      <w:lvlJc w:val="left"/>
      <w:pPr>
        <w:tabs>
          <w:tab w:val="num" w:pos="1069"/>
        </w:tabs>
        <w:ind w:left="1069" w:hanging="360"/>
      </w:pPr>
      <w:rPr>
        <w:rFonts w:hint="default"/>
      </w:rPr>
    </w:lvl>
    <w:lvl w:ilvl="1" w:tplc="04050003">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20">
    <w:nsid w:val="5D705D4C"/>
    <w:multiLevelType w:val="hybridMultilevel"/>
    <w:tmpl w:val="0D7E2190"/>
    <w:lvl w:ilvl="0" w:tplc="04050017">
      <w:start w:val="1"/>
      <w:numFmt w:val="lowerLetter"/>
      <w:lvlText w:val="%1)"/>
      <w:lvlJc w:val="left"/>
      <w:pPr>
        <w:tabs>
          <w:tab w:val="num" w:pos="2880"/>
        </w:tabs>
        <w:ind w:left="2880" w:hanging="360"/>
      </w:pPr>
      <w:rPr>
        <w:rFonts w:hint="default"/>
      </w:rPr>
    </w:lvl>
    <w:lvl w:ilvl="1" w:tplc="04050003" w:tentative="1">
      <w:start w:val="1"/>
      <w:numFmt w:val="bullet"/>
      <w:lvlText w:val="o"/>
      <w:lvlJc w:val="left"/>
      <w:pPr>
        <w:tabs>
          <w:tab w:val="num" w:pos="3600"/>
        </w:tabs>
        <w:ind w:left="3600" w:hanging="360"/>
      </w:pPr>
      <w:rPr>
        <w:rFonts w:ascii="Courier New" w:hAnsi="Courier New" w:cs="Courier New" w:hint="default"/>
      </w:rPr>
    </w:lvl>
    <w:lvl w:ilvl="2" w:tplc="04050005" w:tentative="1">
      <w:start w:val="1"/>
      <w:numFmt w:val="bullet"/>
      <w:lvlText w:val=""/>
      <w:lvlJc w:val="left"/>
      <w:pPr>
        <w:tabs>
          <w:tab w:val="num" w:pos="4320"/>
        </w:tabs>
        <w:ind w:left="4320" w:hanging="360"/>
      </w:pPr>
      <w:rPr>
        <w:rFonts w:ascii="Wingdings" w:hAnsi="Wingdings" w:hint="default"/>
      </w:rPr>
    </w:lvl>
    <w:lvl w:ilvl="3" w:tplc="04050001" w:tentative="1">
      <w:start w:val="1"/>
      <w:numFmt w:val="bullet"/>
      <w:lvlText w:val=""/>
      <w:lvlJc w:val="left"/>
      <w:pPr>
        <w:tabs>
          <w:tab w:val="num" w:pos="5040"/>
        </w:tabs>
        <w:ind w:left="5040" w:hanging="360"/>
      </w:pPr>
      <w:rPr>
        <w:rFonts w:ascii="Symbol" w:hAnsi="Symbol" w:hint="default"/>
      </w:rPr>
    </w:lvl>
    <w:lvl w:ilvl="4" w:tplc="04050003" w:tentative="1">
      <w:start w:val="1"/>
      <w:numFmt w:val="bullet"/>
      <w:lvlText w:val="o"/>
      <w:lvlJc w:val="left"/>
      <w:pPr>
        <w:tabs>
          <w:tab w:val="num" w:pos="5760"/>
        </w:tabs>
        <w:ind w:left="5760" w:hanging="360"/>
      </w:pPr>
      <w:rPr>
        <w:rFonts w:ascii="Courier New" w:hAnsi="Courier New" w:cs="Courier New" w:hint="default"/>
      </w:rPr>
    </w:lvl>
    <w:lvl w:ilvl="5" w:tplc="04050005" w:tentative="1">
      <w:start w:val="1"/>
      <w:numFmt w:val="bullet"/>
      <w:lvlText w:val=""/>
      <w:lvlJc w:val="left"/>
      <w:pPr>
        <w:tabs>
          <w:tab w:val="num" w:pos="6480"/>
        </w:tabs>
        <w:ind w:left="6480" w:hanging="360"/>
      </w:pPr>
      <w:rPr>
        <w:rFonts w:ascii="Wingdings" w:hAnsi="Wingdings" w:hint="default"/>
      </w:rPr>
    </w:lvl>
    <w:lvl w:ilvl="6" w:tplc="04050001" w:tentative="1">
      <w:start w:val="1"/>
      <w:numFmt w:val="bullet"/>
      <w:lvlText w:val=""/>
      <w:lvlJc w:val="left"/>
      <w:pPr>
        <w:tabs>
          <w:tab w:val="num" w:pos="7200"/>
        </w:tabs>
        <w:ind w:left="7200" w:hanging="360"/>
      </w:pPr>
      <w:rPr>
        <w:rFonts w:ascii="Symbol" w:hAnsi="Symbol" w:hint="default"/>
      </w:rPr>
    </w:lvl>
    <w:lvl w:ilvl="7" w:tplc="04050003" w:tentative="1">
      <w:start w:val="1"/>
      <w:numFmt w:val="bullet"/>
      <w:lvlText w:val="o"/>
      <w:lvlJc w:val="left"/>
      <w:pPr>
        <w:tabs>
          <w:tab w:val="num" w:pos="7920"/>
        </w:tabs>
        <w:ind w:left="7920" w:hanging="360"/>
      </w:pPr>
      <w:rPr>
        <w:rFonts w:ascii="Courier New" w:hAnsi="Courier New" w:cs="Courier New" w:hint="default"/>
      </w:rPr>
    </w:lvl>
    <w:lvl w:ilvl="8" w:tplc="04050005" w:tentative="1">
      <w:start w:val="1"/>
      <w:numFmt w:val="bullet"/>
      <w:lvlText w:val=""/>
      <w:lvlJc w:val="left"/>
      <w:pPr>
        <w:tabs>
          <w:tab w:val="num" w:pos="8640"/>
        </w:tabs>
        <w:ind w:left="8640" w:hanging="360"/>
      </w:pPr>
      <w:rPr>
        <w:rFonts w:ascii="Wingdings" w:hAnsi="Wingdings" w:hint="default"/>
      </w:rPr>
    </w:lvl>
  </w:abstractNum>
  <w:abstractNum w:abstractNumId="21">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nsid w:val="6CB653E7"/>
    <w:multiLevelType w:val="multilevel"/>
    <w:tmpl w:val="319C892A"/>
    <w:lvl w:ilvl="0">
      <w:start w:val="1"/>
      <w:numFmt w:val="decimal"/>
      <w:isLgl/>
      <w:lvlText w:val="(%1)"/>
      <w:lvlJc w:val="left"/>
      <w:pPr>
        <w:tabs>
          <w:tab w:val="num" w:pos="785"/>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2"/>
      <w:numFmt w:val="decimal"/>
      <w:lvlText w:val="(%7)"/>
      <w:lvlJc w:val="left"/>
      <w:pPr>
        <w:tabs>
          <w:tab w:val="num" w:pos="785"/>
        </w:tabs>
        <w:ind w:left="0" w:firstLine="425"/>
      </w:pPr>
      <w:rPr>
        <w:rFonts w:hint="default"/>
      </w:rPr>
    </w:lvl>
    <w:lvl w:ilvl="7">
      <w:start w:val="1"/>
      <w:numFmt w:val="lowerLetter"/>
      <w:lvlText w:val="%8)"/>
      <w:lvlJc w:val="left"/>
      <w:pPr>
        <w:tabs>
          <w:tab w:val="num" w:pos="425"/>
        </w:tabs>
        <w:ind w:left="425" w:hanging="425"/>
      </w:pPr>
      <w:rPr>
        <w:rFonts w:hint="default"/>
      </w:rPr>
    </w:lvl>
    <w:lvl w:ilvl="8">
      <w:start w:val="1"/>
      <w:numFmt w:val="decimal"/>
      <w:lvlText w:val="%9."/>
      <w:lvlJc w:val="left"/>
      <w:pPr>
        <w:tabs>
          <w:tab w:val="num" w:pos="851"/>
        </w:tabs>
        <w:ind w:left="851" w:hanging="426"/>
      </w:pPr>
      <w:rPr>
        <w:rFonts w:hint="default"/>
      </w:rPr>
    </w:lvl>
  </w:abstractNum>
  <w:abstractNum w:abstractNumId="23">
    <w:nsid w:val="6DEA701D"/>
    <w:multiLevelType w:val="hybridMultilevel"/>
    <w:tmpl w:val="A2D20584"/>
    <w:lvl w:ilvl="0" w:tplc="226C0734">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4">
    <w:nsid w:val="73B9620E"/>
    <w:multiLevelType w:val="multilevel"/>
    <w:tmpl w:val="F9D61076"/>
    <w:lvl w:ilvl="0">
      <w:start w:val="1"/>
      <w:numFmt w:val="upperRoman"/>
      <w:lvlText w:val="%1."/>
      <w:lvlJc w:val="center"/>
      <w:pPr>
        <w:tabs>
          <w:tab w:val="num" w:pos="57"/>
        </w:tabs>
        <w:ind w:left="57" w:firstLine="231"/>
      </w:pPr>
      <w:rPr>
        <w:b/>
      </w:rPr>
    </w:lvl>
    <w:lvl w:ilvl="1">
      <w:start w:val="1"/>
      <w:numFmt w:val="bullet"/>
      <w:lvlText w:val="-"/>
      <w:lvlJc w:val="left"/>
      <w:pPr>
        <w:tabs>
          <w:tab w:val="num" w:pos="720"/>
        </w:tabs>
        <w:ind w:left="720" w:hanging="360"/>
      </w:pPr>
      <w:rPr>
        <w:rFonts w:ascii="Arial" w:hAnsi="Arial" w:cs="Times New Roman" w:hint="default"/>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75FF14F3"/>
    <w:multiLevelType w:val="singleLevel"/>
    <w:tmpl w:val="04050017"/>
    <w:lvl w:ilvl="0">
      <w:start w:val="1"/>
      <w:numFmt w:val="lowerLetter"/>
      <w:lvlText w:val="%1)"/>
      <w:lvlJc w:val="left"/>
      <w:pPr>
        <w:tabs>
          <w:tab w:val="num" w:pos="360"/>
        </w:tabs>
        <w:ind w:left="360" w:hanging="360"/>
      </w:pPr>
    </w:lvl>
  </w:abstractNum>
  <w:num w:numId="1">
    <w:abstractNumId w:val="0"/>
  </w:num>
  <w:num w:numId="2">
    <w:abstractNumId w:val="13"/>
  </w:num>
  <w:num w:numId="3">
    <w:abstractNumId w:val="11"/>
  </w:num>
  <w:num w:numId="4">
    <w:abstractNumId w:val="2"/>
  </w:num>
  <w:num w:numId="5">
    <w:abstractNumId w:val="23"/>
  </w:num>
  <w:num w:numId="6">
    <w:abstractNumId w:val="19"/>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12"/>
  </w:num>
  <w:num w:numId="12">
    <w:abstractNumId w:val="8"/>
  </w:num>
  <w:num w:numId="13">
    <w:abstractNumId w:val="25"/>
  </w:num>
  <w:num w:numId="14">
    <w:abstractNumId w:val="14"/>
  </w:num>
  <w:num w:numId="15">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
  </w:num>
  <w:num w:numId="18">
    <w:abstractNumId w:val="5"/>
  </w:num>
  <w:num w:numId="19">
    <w:abstractNumId w:val="7"/>
  </w:num>
  <w:num w:numId="20">
    <w:abstractNumId w:val="11"/>
    <w:lvlOverride w:ilvl="0">
      <w:startOverride w:val="2"/>
    </w:lvlOverride>
    <w:lvlOverride w:ilvl="1">
      <w:startOverride w:val="2"/>
    </w:lvlOverride>
  </w:num>
  <w:num w:numId="21">
    <w:abstractNumId w:val="6"/>
  </w:num>
  <w:num w:numId="22">
    <w:abstractNumId w:val="18"/>
  </w:num>
  <w:num w:numId="23">
    <w:abstractNumId w:val="16"/>
  </w:num>
  <w:num w:numId="24">
    <w:abstractNumId w:val="10"/>
  </w:num>
  <w:num w:numId="25">
    <w:abstractNumId w:val="9"/>
  </w:num>
  <w:num w:numId="26">
    <w:abstractNumId w:val="17"/>
  </w:num>
  <w:num w:numId="27">
    <w:abstractNumId w:val="3"/>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DAD"/>
    <w:rsid w:val="000C7A1D"/>
    <w:rsid w:val="00200B05"/>
    <w:rsid w:val="00312BDA"/>
    <w:rsid w:val="003B3DAD"/>
    <w:rsid w:val="003B7C50"/>
    <w:rsid w:val="00432A53"/>
    <w:rsid w:val="004B6E54"/>
    <w:rsid w:val="0067576F"/>
    <w:rsid w:val="007B7B74"/>
    <w:rsid w:val="00A8686F"/>
    <w:rsid w:val="00B0760C"/>
    <w:rsid w:val="00EC66DC"/>
    <w:rsid w:val="00F717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3B3DAD"/>
    <w:pPr>
      <w:keepNext/>
      <w:numPr>
        <w:numId w:val="3"/>
      </w:numPr>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qFormat/>
    <w:rsid w:val="003B3DAD"/>
    <w:pPr>
      <w:keepNext/>
      <w:numPr>
        <w:ilvl w:val="1"/>
        <w:numId w:val="3"/>
      </w:numPr>
      <w:spacing w:before="240" w:after="60" w:line="240" w:lineRule="auto"/>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qFormat/>
    <w:rsid w:val="003B3DAD"/>
    <w:pPr>
      <w:keepNext/>
      <w:numPr>
        <w:ilvl w:val="2"/>
        <w:numId w:val="3"/>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qFormat/>
    <w:rsid w:val="003B3DAD"/>
    <w:pPr>
      <w:keepNext/>
      <w:numPr>
        <w:ilvl w:val="3"/>
        <w:numId w:val="3"/>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3B3DAD"/>
    <w:pPr>
      <w:numPr>
        <w:ilvl w:val="4"/>
        <w:numId w:val="3"/>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qFormat/>
    <w:rsid w:val="003B3DAD"/>
    <w:pPr>
      <w:numPr>
        <w:ilvl w:val="5"/>
        <w:numId w:val="3"/>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qFormat/>
    <w:rsid w:val="003B3DAD"/>
    <w:pPr>
      <w:numPr>
        <w:ilvl w:val="6"/>
        <w:numId w:val="3"/>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3B3DAD"/>
    <w:pPr>
      <w:numPr>
        <w:ilvl w:val="7"/>
        <w:numId w:val="3"/>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3B3DAD"/>
    <w:pPr>
      <w:numPr>
        <w:ilvl w:val="8"/>
        <w:numId w:val="3"/>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semiHidden/>
    <w:unhideWhenUsed/>
    <w:rsid w:val="003B3DA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3B3DAD"/>
  </w:style>
  <w:style w:type="character" w:customStyle="1" w:styleId="Nadpis1Char">
    <w:name w:val="Nadpis 1 Char"/>
    <w:basedOn w:val="Standardnpsmoodstavce"/>
    <w:link w:val="Nadpis1"/>
    <w:rsid w:val="003B3DAD"/>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B3DAD"/>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3B3DAD"/>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3B3DA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3B3DA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3B3DAD"/>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3B3DA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3B3DA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3B3DAD"/>
    <w:rPr>
      <w:rFonts w:ascii="Arial" w:eastAsia="Times New Roman" w:hAnsi="Arial" w:cs="Arial"/>
      <w:lang w:eastAsia="cs-CZ"/>
    </w:rPr>
  </w:style>
  <w:style w:type="paragraph" w:styleId="Zhlav">
    <w:name w:val="header"/>
    <w:basedOn w:val="Normln"/>
    <w:link w:val="ZhlavChar"/>
    <w:uiPriority w:val="99"/>
    <w:unhideWhenUsed/>
    <w:rsid w:val="003B3D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B3DAD"/>
  </w:style>
  <w:style w:type="paragraph" w:styleId="Textpoznpodarou">
    <w:name w:val="footnote text"/>
    <w:basedOn w:val="Normln"/>
    <w:link w:val="TextpoznpodarouChar"/>
    <w:uiPriority w:val="99"/>
    <w:semiHidden/>
    <w:unhideWhenUsed/>
    <w:rsid w:val="003B3DA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B3DAD"/>
    <w:rPr>
      <w:sz w:val="20"/>
      <w:szCs w:val="20"/>
    </w:rPr>
  </w:style>
  <w:style w:type="character" w:styleId="slostrnky">
    <w:name w:val="page number"/>
    <w:basedOn w:val="Standardnpsmoodstavce"/>
    <w:rsid w:val="003B3DAD"/>
  </w:style>
  <w:style w:type="paragraph" w:customStyle="1" w:styleId="Textodstavce">
    <w:name w:val="Text odstavce"/>
    <w:basedOn w:val="Normln"/>
    <w:rsid w:val="003B3DAD"/>
    <w:pPr>
      <w:numPr>
        <w:numId w:val="7"/>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3B3DAD"/>
    <w:pPr>
      <w:numPr>
        <w:ilvl w:val="2"/>
        <w:numId w:val="7"/>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3B3DAD"/>
    <w:pPr>
      <w:numPr>
        <w:ilvl w:val="1"/>
        <w:numId w:val="7"/>
      </w:numPr>
      <w:spacing w:after="0" w:line="240" w:lineRule="auto"/>
      <w:jc w:val="both"/>
      <w:outlineLvl w:val="7"/>
    </w:pPr>
    <w:rPr>
      <w:rFonts w:ascii="Times New Roman" w:eastAsia="Times New Roman" w:hAnsi="Times New Roman" w:cs="Times New Roman"/>
      <w:sz w:val="24"/>
      <w:szCs w:val="20"/>
      <w:lang w:eastAsia="cs-CZ"/>
    </w:rPr>
  </w:style>
  <w:style w:type="character" w:styleId="Znakapoznpodarou">
    <w:name w:val="footnote reference"/>
    <w:semiHidden/>
    <w:rsid w:val="003B3DAD"/>
    <w:rPr>
      <w:vertAlign w:val="superscript"/>
    </w:rPr>
  </w:style>
  <w:style w:type="paragraph" w:styleId="Textbubliny">
    <w:name w:val="Balloon Text"/>
    <w:basedOn w:val="Normln"/>
    <w:link w:val="TextbublinyChar"/>
    <w:uiPriority w:val="99"/>
    <w:semiHidden/>
    <w:unhideWhenUsed/>
    <w:rsid w:val="003B7C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B7C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3B3DAD"/>
    <w:pPr>
      <w:keepNext/>
      <w:numPr>
        <w:numId w:val="3"/>
      </w:numPr>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qFormat/>
    <w:rsid w:val="003B3DAD"/>
    <w:pPr>
      <w:keepNext/>
      <w:numPr>
        <w:ilvl w:val="1"/>
        <w:numId w:val="3"/>
      </w:numPr>
      <w:spacing w:before="240" w:after="60" w:line="240" w:lineRule="auto"/>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qFormat/>
    <w:rsid w:val="003B3DAD"/>
    <w:pPr>
      <w:keepNext/>
      <w:numPr>
        <w:ilvl w:val="2"/>
        <w:numId w:val="3"/>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qFormat/>
    <w:rsid w:val="003B3DAD"/>
    <w:pPr>
      <w:keepNext/>
      <w:numPr>
        <w:ilvl w:val="3"/>
        <w:numId w:val="3"/>
      </w:numPr>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qFormat/>
    <w:rsid w:val="003B3DAD"/>
    <w:pPr>
      <w:numPr>
        <w:ilvl w:val="4"/>
        <w:numId w:val="3"/>
      </w:numPr>
      <w:spacing w:before="240" w:after="60" w:line="240" w:lineRule="auto"/>
      <w:outlineLvl w:val="4"/>
    </w:pPr>
    <w:rPr>
      <w:rFonts w:ascii="Times New Roman" w:eastAsia="Times New Roman" w:hAnsi="Times New Roman" w:cs="Times New Roman"/>
      <w:b/>
      <w:bCs/>
      <w:i/>
      <w:iCs/>
      <w:sz w:val="26"/>
      <w:szCs w:val="26"/>
      <w:lang w:eastAsia="cs-CZ"/>
    </w:rPr>
  </w:style>
  <w:style w:type="paragraph" w:styleId="Nadpis6">
    <w:name w:val="heading 6"/>
    <w:basedOn w:val="Normln"/>
    <w:next w:val="Normln"/>
    <w:link w:val="Nadpis6Char"/>
    <w:qFormat/>
    <w:rsid w:val="003B3DAD"/>
    <w:pPr>
      <w:numPr>
        <w:ilvl w:val="5"/>
        <w:numId w:val="3"/>
      </w:numPr>
      <w:spacing w:before="240" w:after="60" w:line="240" w:lineRule="auto"/>
      <w:outlineLvl w:val="5"/>
    </w:pPr>
    <w:rPr>
      <w:rFonts w:ascii="Times New Roman" w:eastAsia="Times New Roman" w:hAnsi="Times New Roman" w:cs="Times New Roman"/>
      <w:b/>
      <w:bCs/>
      <w:lang w:eastAsia="cs-CZ"/>
    </w:rPr>
  </w:style>
  <w:style w:type="paragraph" w:styleId="Nadpis7">
    <w:name w:val="heading 7"/>
    <w:basedOn w:val="Normln"/>
    <w:next w:val="Normln"/>
    <w:link w:val="Nadpis7Char"/>
    <w:qFormat/>
    <w:rsid w:val="003B3DAD"/>
    <w:pPr>
      <w:numPr>
        <w:ilvl w:val="6"/>
        <w:numId w:val="3"/>
      </w:num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3B3DAD"/>
    <w:pPr>
      <w:numPr>
        <w:ilvl w:val="7"/>
        <w:numId w:val="3"/>
      </w:numPr>
      <w:spacing w:before="240" w:after="60" w:line="240" w:lineRule="auto"/>
      <w:outlineLvl w:val="7"/>
    </w:pPr>
    <w:rPr>
      <w:rFonts w:ascii="Times New Roman" w:eastAsia="Times New Roman" w:hAnsi="Times New Roman" w:cs="Times New Roman"/>
      <w:i/>
      <w:iCs/>
      <w:sz w:val="24"/>
      <w:szCs w:val="24"/>
      <w:lang w:eastAsia="cs-CZ"/>
    </w:rPr>
  </w:style>
  <w:style w:type="paragraph" w:styleId="Nadpis9">
    <w:name w:val="heading 9"/>
    <w:basedOn w:val="Normln"/>
    <w:next w:val="Normln"/>
    <w:link w:val="Nadpis9Char"/>
    <w:qFormat/>
    <w:rsid w:val="003B3DAD"/>
    <w:pPr>
      <w:numPr>
        <w:ilvl w:val="8"/>
        <w:numId w:val="3"/>
      </w:numPr>
      <w:spacing w:before="240" w:after="60" w:line="240" w:lineRule="auto"/>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semiHidden/>
    <w:unhideWhenUsed/>
    <w:rsid w:val="003B3DA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3B3DAD"/>
  </w:style>
  <w:style w:type="character" w:customStyle="1" w:styleId="Nadpis1Char">
    <w:name w:val="Nadpis 1 Char"/>
    <w:basedOn w:val="Standardnpsmoodstavce"/>
    <w:link w:val="Nadpis1"/>
    <w:rsid w:val="003B3DAD"/>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B3DAD"/>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3B3DAD"/>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3B3DAD"/>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rsid w:val="003B3DAD"/>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3B3DAD"/>
    <w:rPr>
      <w:rFonts w:ascii="Times New Roman" w:eastAsia="Times New Roman" w:hAnsi="Times New Roman" w:cs="Times New Roman"/>
      <w:b/>
      <w:bCs/>
      <w:lang w:eastAsia="cs-CZ"/>
    </w:rPr>
  </w:style>
  <w:style w:type="character" w:customStyle="1" w:styleId="Nadpis7Char">
    <w:name w:val="Nadpis 7 Char"/>
    <w:basedOn w:val="Standardnpsmoodstavce"/>
    <w:link w:val="Nadpis7"/>
    <w:rsid w:val="003B3DAD"/>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3B3DAD"/>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3B3DAD"/>
    <w:rPr>
      <w:rFonts w:ascii="Arial" w:eastAsia="Times New Roman" w:hAnsi="Arial" w:cs="Arial"/>
      <w:lang w:eastAsia="cs-CZ"/>
    </w:rPr>
  </w:style>
  <w:style w:type="paragraph" w:styleId="Zhlav">
    <w:name w:val="header"/>
    <w:basedOn w:val="Normln"/>
    <w:link w:val="ZhlavChar"/>
    <w:uiPriority w:val="99"/>
    <w:unhideWhenUsed/>
    <w:rsid w:val="003B3D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B3DAD"/>
  </w:style>
  <w:style w:type="paragraph" w:styleId="Textpoznpodarou">
    <w:name w:val="footnote text"/>
    <w:basedOn w:val="Normln"/>
    <w:link w:val="TextpoznpodarouChar"/>
    <w:uiPriority w:val="99"/>
    <w:semiHidden/>
    <w:unhideWhenUsed/>
    <w:rsid w:val="003B3DA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B3DAD"/>
    <w:rPr>
      <w:sz w:val="20"/>
      <w:szCs w:val="20"/>
    </w:rPr>
  </w:style>
  <w:style w:type="character" w:styleId="slostrnky">
    <w:name w:val="page number"/>
    <w:basedOn w:val="Standardnpsmoodstavce"/>
    <w:rsid w:val="003B3DAD"/>
  </w:style>
  <w:style w:type="paragraph" w:customStyle="1" w:styleId="Textodstavce">
    <w:name w:val="Text odstavce"/>
    <w:basedOn w:val="Normln"/>
    <w:rsid w:val="003B3DAD"/>
    <w:pPr>
      <w:numPr>
        <w:numId w:val="7"/>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3B3DAD"/>
    <w:pPr>
      <w:numPr>
        <w:ilvl w:val="2"/>
        <w:numId w:val="7"/>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3B3DAD"/>
    <w:pPr>
      <w:numPr>
        <w:ilvl w:val="1"/>
        <w:numId w:val="7"/>
      </w:numPr>
      <w:spacing w:after="0" w:line="240" w:lineRule="auto"/>
      <w:jc w:val="both"/>
      <w:outlineLvl w:val="7"/>
    </w:pPr>
    <w:rPr>
      <w:rFonts w:ascii="Times New Roman" w:eastAsia="Times New Roman" w:hAnsi="Times New Roman" w:cs="Times New Roman"/>
      <w:sz w:val="24"/>
      <w:szCs w:val="20"/>
      <w:lang w:eastAsia="cs-CZ"/>
    </w:rPr>
  </w:style>
  <w:style w:type="character" w:styleId="Znakapoznpodarou">
    <w:name w:val="footnote reference"/>
    <w:semiHidden/>
    <w:rsid w:val="003B3DAD"/>
    <w:rPr>
      <w:vertAlign w:val="superscript"/>
    </w:rPr>
  </w:style>
  <w:style w:type="paragraph" w:styleId="Textbubliny">
    <w:name w:val="Balloon Text"/>
    <w:basedOn w:val="Normln"/>
    <w:link w:val="TextbublinyChar"/>
    <w:uiPriority w:val="99"/>
    <w:semiHidden/>
    <w:unhideWhenUsed/>
    <w:rsid w:val="003B7C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B7C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jan.ocenasek@uradprace.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tr.kalina@uradprace.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623</TotalTime>
  <Pages>19</Pages>
  <Words>5867</Words>
  <Characters>34622</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Očenášek Jan Mgr. GR (MPSV)</dc:creator>
  <cp:lastModifiedBy>Očenášek Jan Mgr. GR (MPSV)</cp:lastModifiedBy>
  <cp:revision>3</cp:revision>
  <cp:lastPrinted>2011-11-07T15:55:00Z</cp:lastPrinted>
  <dcterms:created xsi:type="dcterms:W3CDTF">2011-11-02T13:44:00Z</dcterms:created>
  <dcterms:modified xsi:type="dcterms:W3CDTF">2011-11-07T18:06:00Z</dcterms:modified>
</cp:coreProperties>
</file>